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05C6" w14:textId="357D5E86" w:rsidR="00A94952" w:rsidRPr="00442AAC" w:rsidRDefault="009E686D" w:rsidP="00E9523F">
      <w:pPr>
        <w:jc w:val="right"/>
        <w:rPr>
          <w:rFonts w:ascii="Arial" w:hAnsi="Arial" w:cs="Arial"/>
          <w:sz w:val="32"/>
          <w:szCs w:val="32"/>
        </w:rPr>
      </w:pPr>
      <w:r w:rsidRPr="009E686D">
        <w:rPr>
          <w:rFonts w:ascii="Arial" w:hAnsi="Arial" w:cs="Arial"/>
          <w:b/>
          <w:bCs/>
          <w:noProof/>
          <w:sz w:val="32"/>
          <w:szCs w:val="32"/>
        </w:rPr>
        <mc:AlternateContent>
          <mc:Choice Requires="wps">
            <w:drawing>
              <wp:anchor distT="45720" distB="45720" distL="114300" distR="114300" simplePos="0" relativeHeight="251661312" behindDoc="0" locked="0" layoutInCell="1" allowOverlap="1" wp14:anchorId="444D373B" wp14:editId="37FCB3D0">
                <wp:simplePos x="0" y="0"/>
                <wp:positionH relativeFrom="column">
                  <wp:posOffset>3371850</wp:posOffset>
                </wp:positionH>
                <wp:positionV relativeFrom="paragraph">
                  <wp:posOffset>9525</wp:posOffset>
                </wp:positionV>
                <wp:extent cx="2320290" cy="85725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857250"/>
                        </a:xfrm>
                        <a:prstGeom prst="rect">
                          <a:avLst/>
                        </a:prstGeom>
                        <a:solidFill>
                          <a:srgbClr val="FFFFFF"/>
                        </a:solidFill>
                        <a:ln w="9525">
                          <a:noFill/>
                          <a:miter lim="800000"/>
                          <a:headEnd/>
                          <a:tailEnd/>
                        </a:ln>
                      </wps:spPr>
                      <wps:txbx>
                        <w:txbxContent>
                          <w:p w14:paraId="1A4E51AD" w14:textId="6A8D112D" w:rsidR="009E686D" w:rsidRDefault="009E686D" w:rsidP="009E686D">
                            <w:r>
                              <w:rPr>
                                <w:rFonts w:ascii="Arial" w:hAnsi="Arial" w:cs="Arial"/>
                                <w:noProof/>
                                <w:sz w:val="32"/>
                                <w:szCs w:val="32"/>
                              </w:rPr>
                              <w:drawing>
                                <wp:inline distT="0" distB="0" distL="0" distR="0" wp14:anchorId="40D8E51B" wp14:editId="490B6397">
                                  <wp:extent cx="2126311" cy="61912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311" cy="619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D373B" id="_x0000_t202" coordsize="21600,21600" o:spt="202" path="m,l,21600r21600,l21600,xe">
                <v:stroke joinstyle="miter"/>
                <v:path gradientshapeok="t" o:connecttype="rect"/>
              </v:shapetype>
              <v:shape id="Text Box 2" o:spid="_x0000_s1026" type="#_x0000_t202" style="position:absolute;left:0;text-align:left;margin-left:265.5pt;margin-top:.75pt;width:182.7pt;height: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" stroked="f">
                <v:textbox>
                  <w:txbxContent>
                    <w:p w14:paraId="1A4E51AD" w14:textId="6A8D112D" w:rsidR="009E686D" w:rsidRDefault="009E686D" w:rsidP="009E686D">
                      <w:r>
                        <w:rPr>
                          <w:rFonts w:ascii="Arial" w:hAnsi="Arial" w:cs="Arial"/>
                          <w:noProof/>
                          <w:sz w:val="32"/>
                          <w:szCs w:val="32"/>
                        </w:rPr>
                        <w:drawing>
                          <wp:inline distT="0" distB="0" distL="0" distR="0" wp14:anchorId="40D8E51B" wp14:editId="490B6397">
                            <wp:extent cx="2126311" cy="61912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6311" cy="619125"/>
                                    </a:xfrm>
                                    <a:prstGeom prst="rect">
                                      <a:avLst/>
                                    </a:prstGeom>
                                    <a:noFill/>
                                    <a:ln>
                                      <a:noFill/>
                                    </a:ln>
                                  </pic:spPr>
                                </pic:pic>
                              </a:graphicData>
                            </a:graphic>
                          </wp:inline>
                        </w:drawing>
                      </w:r>
                    </w:p>
                  </w:txbxContent>
                </v:textbox>
                <w10:wrap type="square"/>
              </v:shape>
            </w:pict>
          </mc:Fallback>
        </mc:AlternateContent>
      </w:r>
      <w:r w:rsidR="00E9523F">
        <w:rPr>
          <w:color w:val="000000"/>
          <w:sz w:val="20"/>
          <w:szCs w:val="20"/>
          <w:shd w:val="clear" w:color="auto" w:fill="FFFFFF"/>
        </w:rPr>
        <w:br/>
      </w:r>
    </w:p>
    <w:p w14:paraId="27945816" w14:textId="039EB223" w:rsidR="00A94952" w:rsidRDefault="00A94952" w:rsidP="009F7C0A">
      <w:pPr>
        <w:jc w:val="center"/>
        <w:rPr>
          <w:rFonts w:ascii="Arial" w:hAnsi="Arial" w:cs="Arial"/>
          <w:b/>
          <w:bCs/>
          <w:sz w:val="32"/>
          <w:szCs w:val="32"/>
        </w:rPr>
      </w:pPr>
    </w:p>
    <w:p w14:paraId="6A73B882" w14:textId="77777777" w:rsidR="00A94952" w:rsidRDefault="00A94952" w:rsidP="009F7C0A">
      <w:pPr>
        <w:jc w:val="center"/>
        <w:rPr>
          <w:rFonts w:ascii="Arial" w:hAnsi="Arial" w:cs="Arial"/>
          <w:b/>
          <w:bCs/>
          <w:sz w:val="32"/>
          <w:szCs w:val="32"/>
        </w:rPr>
      </w:pPr>
    </w:p>
    <w:p w14:paraId="1889E057" w14:textId="52E9329E" w:rsidR="00283E88" w:rsidRDefault="00283E88" w:rsidP="008178BE">
      <w:pPr>
        <w:jc w:val="center"/>
        <w:rPr>
          <w:rFonts w:ascii="Arial" w:hAnsi="Arial" w:cs="Arial"/>
          <w:b/>
          <w:bCs/>
          <w:sz w:val="32"/>
          <w:szCs w:val="32"/>
        </w:rPr>
      </w:pPr>
      <w:r w:rsidRPr="009F7C0A">
        <w:rPr>
          <w:rFonts w:ascii="Arial" w:hAnsi="Arial" w:cs="Arial"/>
          <w:b/>
          <w:bCs/>
          <w:sz w:val="32"/>
          <w:szCs w:val="32"/>
        </w:rPr>
        <w:t xml:space="preserve">EIUG </w:t>
      </w:r>
      <w:r w:rsidR="008178BE">
        <w:rPr>
          <w:rFonts w:ascii="Arial" w:hAnsi="Arial" w:cs="Arial"/>
          <w:b/>
          <w:bCs/>
          <w:sz w:val="32"/>
          <w:szCs w:val="32"/>
        </w:rPr>
        <w:t xml:space="preserve">Response to the Consultation on the </w:t>
      </w:r>
      <w:r w:rsidR="008178BE" w:rsidRPr="008178BE">
        <w:rPr>
          <w:rFonts w:ascii="Arial" w:hAnsi="Arial" w:cs="Arial"/>
          <w:b/>
          <w:bCs/>
          <w:sz w:val="32"/>
          <w:szCs w:val="32"/>
        </w:rPr>
        <w:t>Strategy and Policy Statement for Energy Policy in Great Britain</w:t>
      </w:r>
    </w:p>
    <w:p w14:paraId="03ACC401" w14:textId="77777777" w:rsidR="00BC1B51" w:rsidRDefault="00BC1B51">
      <w:pPr>
        <w:rPr>
          <w:rFonts w:ascii="Arial" w:hAnsi="Arial" w:cs="Arial"/>
          <w:b/>
          <w:bCs/>
          <w:sz w:val="24"/>
          <w:szCs w:val="24"/>
          <w:u w:val="single"/>
        </w:rPr>
      </w:pPr>
    </w:p>
    <w:p w14:paraId="4BB86A94" w14:textId="484E6CB2" w:rsidR="00283E88" w:rsidRPr="006524A3" w:rsidRDefault="00283E88">
      <w:pPr>
        <w:rPr>
          <w:rFonts w:ascii="Arial" w:hAnsi="Arial" w:cs="Arial"/>
          <w:b/>
          <w:bCs/>
          <w:sz w:val="24"/>
          <w:szCs w:val="24"/>
          <w:u w:val="single"/>
        </w:rPr>
      </w:pPr>
      <w:r w:rsidRPr="006524A3">
        <w:rPr>
          <w:rFonts w:ascii="Arial" w:hAnsi="Arial" w:cs="Arial"/>
          <w:b/>
          <w:bCs/>
          <w:sz w:val="24"/>
          <w:szCs w:val="24"/>
          <w:u w:val="single"/>
        </w:rPr>
        <w:t>Introduction</w:t>
      </w:r>
    </w:p>
    <w:p w14:paraId="32FDC22E" w14:textId="15C2C9E1" w:rsidR="00042DCB" w:rsidRDefault="00042DCB" w:rsidP="009F7C0A">
      <w:pPr>
        <w:pStyle w:val="ListParagraph"/>
        <w:numPr>
          <w:ilvl w:val="0"/>
          <w:numId w:val="2"/>
        </w:numPr>
        <w:rPr>
          <w:rFonts w:ascii="Arial" w:hAnsi="Arial" w:cs="Arial"/>
          <w:sz w:val="24"/>
          <w:szCs w:val="24"/>
        </w:rPr>
      </w:pPr>
      <w:r w:rsidRPr="009F7C0A">
        <w:rPr>
          <w:rFonts w:ascii="Arial" w:hAnsi="Arial" w:cs="Arial"/>
          <w:sz w:val="24"/>
          <w:szCs w:val="24"/>
        </w:rPr>
        <w:t xml:space="preserve">The Energy Intensive Users Group (EIUG) is an umbrella organisation that represents the interests of energy intensive industrial (EII) consumers. Its objective is to achieve fair and competitive energy prices for British industry. It represents manufacturers of steel, chemicals, fertilisers, paper, glass, cement, lime, ceramics, and industrial gases. EIUG members produce materials which are essential inputs to UK manufacturing supply chains, including materials that support climate solutions in the energy, transport, construction, agriculture, and household sectors. They add an annual contribution of £29bn GVA to the UK economy and support 210,000 jobs directly and 800,000 jobs indirectly around the country. </w:t>
      </w:r>
    </w:p>
    <w:p w14:paraId="26C21185" w14:textId="77777777" w:rsidR="009F7C0A" w:rsidRDefault="009F7C0A" w:rsidP="009F7C0A">
      <w:pPr>
        <w:pStyle w:val="ListParagraph"/>
        <w:ind w:left="360"/>
        <w:rPr>
          <w:rFonts w:ascii="Arial" w:hAnsi="Arial" w:cs="Arial"/>
          <w:sz w:val="24"/>
          <w:szCs w:val="24"/>
        </w:rPr>
      </w:pPr>
    </w:p>
    <w:p w14:paraId="5F349CC6" w14:textId="26692B93" w:rsidR="00766883" w:rsidRDefault="00042DCB" w:rsidP="003E7AC7">
      <w:pPr>
        <w:pStyle w:val="ListParagraph"/>
        <w:numPr>
          <w:ilvl w:val="0"/>
          <w:numId w:val="2"/>
        </w:numPr>
        <w:rPr>
          <w:rFonts w:ascii="Arial" w:hAnsi="Arial" w:cs="Arial"/>
          <w:sz w:val="24"/>
          <w:szCs w:val="24"/>
        </w:rPr>
      </w:pPr>
      <w:r w:rsidRPr="009F7C0A">
        <w:rPr>
          <w:rFonts w:ascii="Arial" w:hAnsi="Arial" w:cs="Arial"/>
          <w:sz w:val="24"/>
          <w:szCs w:val="24"/>
        </w:rPr>
        <w:t xml:space="preserve">These industries are both energy and trade intensive – remaining located &amp; continuing to invest in the UK and competing globally requires secure, internationally competitive energy supplies and freedom to export without tariff barriers. However, inward investment, growth and competitiveness have been hampered for years by UK energy costs higher than those of international competitors. </w:t>
      </w:r>
    </w:p>
    <w:p w14:paraId="223F7C88" w14:textId="225496D1" w:rsidR="00372EFB" w:rsidRDefault="00372EFB" w:rsidP="00F563B9">
      <w:pPr>
        <w:pStyle w:val="ListParagraph"/>
        <w:ind w:left="360"/>
        <w:rPr>
          <w:rFonts w:ascii="Arial" w:hAnsi="Arial" w:cs="Arial"/>
          <w:sz w:val="24"/>
          <w:szCs w:val="24"/>
        </w:rPr>
      </w:pPr>
    </w:p>
    <w:p w14:paraId="57E3CC51" w14:textId="77777777" w:rsidR="00DF4266" w:rsidRDefault="00DF4266" w:rsidP="00DF4266">
      <w:pPr>
        <w:pStyle w:val="ListParagraph"/>
        <w:ind w:left="360"/>
        <w:rPr>
          <w:rFonts w:ascii="Arial" w:hAnsi="Arial" w:cs="Arial"/>
          <w:sz w:val="24"/>
          <w:szCs w:val="24"/>
        </w:rPr>
      </w:pPr>
    </w:p>
    <w:p w14:paraId="2BE0491E" w14:textId="72A08AF5" w:rsidR="00405E60" w:rsidRPr="00317076" w:rsidRDefault="00EE34BA" w:rsidP="00EE34BA">
      <w:pPr>
        <w:rPr>
          <w:rFonts w:ascii="Arial" w:hAnsi="Arial" w:cs="Arial"/>
          <w:b/>
          <w:bCs/>
          <w:i/>
          <w:iCs/>
          <w:sz w:val="24"/>
          <w:szCs w:val="24"/>
        </w:rPr>
      </w:pPr>
      <w:r w:rsidRPr="00EE34BA">
        <w:rPr>
          <w:rFonts w:ascii="Arial" w:hAnsi="Arial" w:cs="Arial"/>
          <w:b/>
          <w:bCs/>
          <w:i/>
          <w:iCs/>
          <w:sz w:val="24"/>
          <w:szCs w:val="24"/>
        </w:rPr>
        <w:t>Do you agree that Ofcom, Ofgem and Ofwat should be included in the scope of the growth duty specified in the Deregulation Act 2015?</w:t>
      </w:r>
    </w:p>
    <w:p w14:paraId="1149A65E" w14:textId="727B7D88" w:rsidR="004C0167" w:rsidRDefault="00EE34BA" w:rsidP="00833C54">
      <w:pPr>
        <w:pStyle w:val="ListParagraph"/>
        <w:numPr>
          <w:ilvl w:val="0"/>
          <w:numId w:val="2"/>
        </w:numPr>
        <w:rPr>
          <w:rFonts w:ascii="Arial" w:hAnsi="Arial" w:cs="Arial"/>
          <w:sz w:val="24"/>
          <w:szCs w:val="24"/>
        </w:rPr>
      </w:pPr>
      <w:r>
        <w:rPr>
          <w:rFonts w:ascii="Arial" w:hAnsi="Arial" w:cs="Arial"/>
          <w:sz w:val="24"/>
          <w:szCs w:val="24"/>
        </w:rPr>
        <w:t>Yes</w:t>
      </w:r>
      <w:r w:rsidR="00490232">
        <w:rPr>
          <w:rFonts w:ascii="Arial" w:hAnsi="Arial" w:cs="Arial"/>
          <w:sz w:val="24"/>
          <w:szCs w:val="24"/>
        </w:rPr>
        <w:t xml:space="preserve">, we agree </w:t>
      </w:r>
      <w:r w:rsidR="002645BE">
        <w:rPr>
          <w:rFonts w:ascii="Arial" w:hAnsi="Arial" w:cs="Arial"/>
          <w:sz w:val="24"/>
          <w:szCs w:val="24"/>
        </w:rPr>
        <w:t>that the economic regulators</w:t>
      </w:r>
      <w:r w:rsidR="00490232">
        <w:rPr>
          <w:rFonts w:ascii="Arial" w:hAnsi="Arial" w:cs="Arial"/>
          <w:sz w:val="24"/>
          <w:szCs w:val="24"/>
        </w:rPr>
        <w:t xml:space="preserve"> should be included in the scope of the growth duty</w:t>
      </w:r>
      <w:r>
        <w:rPr>
          <w:rFonts w:ascii="Arial" w:hAnsi="Arial" w:cs="Arial"/>
          <w:sz w:val="24"/>
          <w:szCs w:val="24"/>
        </w:rPr>
        <w:t xml:space="preserve">. However, </w:t>
      </w:r>
      <w:r w:rsidR="0087193B">
        <w:rPr>
          <w:rFonts w:ascii="Arial" w:hAnsi="Arial" w:cs="Arial"/>
          <w:sz w:val="24"/>
          <w:szCs w:val="24"/>
        </w:rPr>
        <w:t>the EIUG believes that the growth duty should not only apply to those businesses that are part of the business community</w:t>
      </w:r>
      <w:r w:rsidR="007967FE">
        <w:rPr>
          <w:rFonts w:ascii="Arial" w:hAnsi="Arial" w:cs="Arial"/>
          <w:sz w:val="24"/>
          <w:szCs w:val="24"/>
        </w:rPr>
        <w:t>,</w:t>
      </w:r>
      <w:r w:rsidR="0087193B">
        <w:rPr>
          <w:rFonts w:ascii="Arial" w:hAnsi="Arial" w:cs="Arial"/>
          <w:sz w:val="24"/>
          <w:szCs w:val="24"/>
        </w:rPr>
        <w:t xml:space="preserve"> as defined in the statutory guidance under section 110(6) of the Deregulation Act 2015, but also to businesses as consumers, whose interest the regulators aim to protect, as set out in their primary duties. </w:t>
      </w:r>
    </w:p>
    <w:p w14:paraId="6DE9CC0F" w14:textId="77777777" w:rsidR="007967FE" w:rsidRDefault="007967FE" w:rsidP="007967FE">
      <w:pPr>
        <w:pStyle w:val="ListParagraph"/>
        <w:ind w:left="360"/>
        <w:rPr>
          <w:rFonts w:ascii="Arial" w:hAnsi="Arial" w:cs="Arial"/>
          <w:sz w:val="24"/>
          <w:szCs w:val="24"/>
        </w:rPr>
      </w:pPr>
    </w:p>
    <w:p w14:paraId="48B2D0C7" w14:textId="3EB98F78" w:rsidR="007967FE" w:rsidRDefault="000401A8" w:rsidP="00833C54">
      <w:pPr>
        <w:pStyle w:val="ListParagraph"/>
        <w:numPr>
          <w:ilvl w:val="0"/>
          <w:numId w:val="2"/>
        </w:numPr>
        <w:rPr>
          <w:rFonts w:ascii="Arial" w:hAnsi="Arial" w:cs="Arial"/>
          <w:sz w:val="24"/>
          <w:szCs w:val="24"/>
        </w:rPr>
      </w:pPr>
      <w:r>
        <w:rPr>
          <w:rFonts w:ascii="Arial" w:hAnsi="Arial" w:cs="Arial"/>
          <w:sz w:val="24"/>
          <w:szCs w:val="24"/>
        </w:rPr>
        <w:t>E</w:t>
      </w:r>
      <w:r w:rsidR="007967FE">
        <w:rPr>
          <w:rFonts w:ascii="Arial" w:hAnsi="Arial" w:cs="Arial"/>
          <w:sz w:val="24"/>
          <w:szCs w:val="24"/>
        </w:rPr>
        <w:t>nergy intensive industries</w:t>
      </w:r>
      <w:r>
        <w:rPr>
          <w:rFonts w:ascii="Arial" w:hAnsi="Arial" w:cs="Arial"/>
          <w:sz w:val="24"/>
          <w:szCs w:val="24"/>
        </w:rPr>
        <w:t>’</w:t>
      </w:r>
      <w:r w:rsidR="007967FE">
        <w:rPr>
          <w:rFonts w:ascii="Arial" w:hAnsi="Arial" w:cs="Arial"/>
          <w:sz w:val="24"/>
          <w:szCs w:val="24"/>
        </w:rPr>
        <w:t xml:space="preserve"> (EIIs) </w:t>
      </w:r>
      <w:r>
        <w:rPr>
          <w:rFonts w:ascii="Arial" w:hAnsi="Arial" w:cs="Arial"/>
          <w:sz w:val="24"/>
          <w:szCs w:val="24"/>
        </w:rPr>
        <w:t xml:space="preserve">experience </w:t>
      </w:r>
      <w:r w:rsidR="007967FE">
        <w:rPr>
          <w:rFonts w:ascii="Arial" w:hAnsi="Arial" w:cs="Arial"/>
          <w:sz w:val="24"/>
          <w:szCs w:val="24"/>
        </w:rPr>
        <w:t xml:space="preserve">with Ofgem is </w:t>
      </w:r>
      <w:r>
        <w:rPr>
          <w:rFonts w:ascii="Arial" w:hAnsi="Arial" w:cs="Arial"/>
          <w:sz w:val="24"/>
          <w:szCs w:val="24"/>
        </w:rPr>
        <w:t xml:space="preserve">that </w:t>
      </w:r>
      <w:r w:rsidR="007967FE">
        <w:rPr>
          <w:rFonts w:ascii="Arial" w:hAnsi="Arial" w:cs="Arial"/>
          <w:sz w:val="24"/>
          <w:szCs w:val="24"/>
        </w:rPr>
        <w:t>the regulator understands the businesses in its business community well – generators, system network operators, energy suppliers</w:t>
      </w:r>
      <w:r w:rsidR="00093330">
        <w:rPr>
          <w:rFonts w:ascii="Arial" w:hAnsi="Arial" w:cs="Arial"/>
          <w:sz w:val="24"/>
          <w:szCs w:val="24"/>
        </w:rPr>
        <w:t xml:space="preserve">, etc. </w:t>
      </w:r>
      <w:r w:rsidR="007967FE">
        <w:rPr>
          <w:rFonts w:ascii="Arial" w:hAnsi="Arial" w:cs="Arial"/>
          <w:sz w:val="24"/>
          <w:szCs w:val="24"/>
        </w:rPr>
        <w:t xml:space="preserve">– but lacks an understanding of businesses as </w:t>
      </w:r>
      <w:r w:rsidR="00490232">
        <w:rPr>
          <w:rFonts w:ascii="Arial" w:hAnsi="Arial" w:cs="Arial"/>
          <w:sz w:val="24"/>
          <w:szCs w:val="24"/>
        </w:rPr>
        <w:t xml:space="preserve">end </w:t>
      </w:r>
      <w:r w:rsidR="007967FE">
        <w:rPr>
          <w:rFonts w:ascii="Arial" w:hAnsi="Arial" w:cs="Arial"/>
          <w:sz w:val="24"/>
          <w:szCs w:val="24"/>
        </w:rPr>
        <w:t>energy consumers</w:t>
      </w:r>
      <w:r w:rsidR="00A6762D">
        <w:rPr>
          <w:rFonts w:ascii="Arial" w:hAnsi="Arial" w:cs="Arial"/>
          <w:sz w:val="24"/>
          <w:szCs w:val="24"/>
        </w:rPr>
        <w:t xml:space="preserve">, and in particular how </w:t>
      </w:r>
      <w:r w:rsidR="007967FE">
        <w:rPr>
          <w:rFonts w:ascii="Arial" w:hAnsi="Arial" w:cs="Arial"/>
          <w:sz w:val="24"/>
          <w:szCs w:val="24"/>
        </w:rPr>
        <w:t xml:space="preserve">its regulations impact on the business environment </w:t>
      </w:r>
      <w:r w:rsidR="00924EAD">
        <w:rPr>
          <w:rFonts w:ascii="Arial" w:hAnsi="Arial" w:cs="Arial"/>
          <w:sz w:val="24"/>
          <w:szCs w:val="24"/>
        </w:rPr>
        <w:t>of</w:t>
      </w:r>
      <w:r w:rsidR="007967FE">
        <w:rPr>
          <w:rFonts w:ascii="Arial" w:hAnsi="Arial" w:cs="Arial"/>
          <w:sz w:val="24"/>
          <w:szCs w:val="24"/>
        </w:rPr>
        <w:t xml:space="preserve"> EIIs. </w:t>
      </w:r>
    </w:p>
    <w:p w14:paraId="2B999947" w14:textId="77777777" w:rsidR="007967FE" w:rsidRPr="007967FE" w:rsidRDefault="007967FE" w:rsidP="007967FE">
      <w:pPr>
        <w:pStyle w:val="ListParagraph"/>
        <w:rPr>
          <w:rFonts w:ascii="Arial" w:hAnsi="Arial" w:cs="Arial"/>
          <w:sz w:val="24"/>
          <w:szCs w:val="24"/>
        </w:rPr>
      </w:pPr>
    </w:p>
    <w:p w14:paraId="58681279" w14:textId="31CDF4DB" w:rsidR="007967FE" w:rsidRDefault="007967FE" w:rsidP="00833C54">
      <w:pPr>
        <w:pStyle w:val="ListParagraph"/>
        <w:numPr>
          <w:ilvl w:val="0"/>
          <w:numId w:val="2"/>
        </w:numPr>
        <w:rPr>
          <w:rFonts w:ascii="Arial" w:hAnsi="Arial" w:cs="Arial"/>
          <w:sz w:val="24"/>
          <w:szCs w:val="24"/>
        </w:rPr>
      </w:pPr>
      <w:r>
        <w:rPr>
          <w:rFonts w:ascii="Arial" w:hAnsi="Arial" w:cs="Arial"/>
          <w:sz w:val="24"/>
          <w:szCs w:val="24"/>
        </w:rPr>
        <w:t>EIIs</w:t>
      </w:r>
      <w:r w:rsidR="002942EE">
        <w:rPr>
          <w:rFonts w:ascii="Arial" w:hAnsi="Arial" w:cs="Arial"/>
          <w:sz w:val="24"/>
          <w:szCs w:val="24"/>
        </w:rPr>
        <w:t xml:space="preserve"> </w:t>
      </w:r>
      <w:r w:rsidR="00924EAD">
        <w:rPr>
          <w:rFonts w:ascii="Arial" w:hAnsi="Arial" w:cs="Arial"/>
          <w:sz w:val="24"/>
          <w:szCs w:val="24"/>
        </w:rPr>
        <w:t>produce</w:t>
      </w:r>
      <w:r w:rsidR="002942EE">
        <w:rPr>
          <w:rFonts w:ascii="Arial" w:hAnsi="Arial" w:cs="Arial"/>
          <w:sz w:val="24"/>
          <w:szCs w:val="24"/>
        </w:rPr>
        <w:t xml:space="preserve"> good</w:t>
      </w:r>
      <w:r w:rsidR="00924EAD">
        <w:rPr>
          <w:rFonts w:ascii="Arial" w:hAnsi="Arial" w:cs="Arial"/>
          <w:sz w:val="24"/>
          <w:szCs w:val="24"/>
        </w:rPr>
        <w:t>s</w:t>
      </w:r>
      <w:r w:rsidR="002942EE">
        <w:rPr>
          <w:rFonts w:ascii="Arial" w:hAnsi="Arial" w:cs="Arial"/>
          <w:sz w:val="24"/>
          <w:szCs w:val="24"/>
        </w:rPr>
        <w:t xml:space="preserve"> that are energy-intensive to </w:t>
      </w:r>
      <w:r w:rsidR="00924EAD">
        <w:rPr>
          <w:rFonts w:ascii="Arial" w:hAnsi="Arial" w:cs="Arial"/>
          <w:sz w:val="24"/>
          <w:szCs w:val="24"/>
        </w:rPr>
        <w:t>manufacture</w:t>
      </w:r>
      <w:r w:rsidR="002942EE">
        <w:rPr>
          <w:rFonts w:ascii="Arial" w:hAnsi="Arial" w:cs="Arial"/>
          <w:sz w:val="24"/>
          <w:szCs w:val="24"/>
        </w:rPr>
        <w:t xml:space="preserve"> and tend to be exposed to international competition. This means that any changes to energy price</w:t>
      </w:r>
      <w:r w:rsidR="00101D1E">
        <w:rPr>
          <w:rFonts w:ascii="Arial" w:hAnsi="Arial" w:cs="Arial"/>
          <w:sz w:val="24"/>
          <w:szCs w:val="24"/>
        </w:rPr>
        <w:t>s</w:t>
      </w:r>
      <w:r w:rsidR="002942EE">
        <w:rPr>
          <w:rFonts w:ascii="Arial" w:hAnsi="Arial" w:cs="Arial"/>
          <w:sz w:val="24"/>
          <w:szCs w:val="24"/>
        </w:rPr>
        <w:t xml:space="preserve">, relative to energy prices </w:t>
      </w:r>
      <w:r w:rsidR="00966E7E">
        <w:rPr>
          <w:rFonts w:ascii="Arial" w:hAnsi="Arial" w:cs="Arial"/>
          <w:sz w:val="24"/>
          <w:szCs w:val="24"/>
        </w:rPr>
        <w:t xml:space="preserve">faced by EIIs they compete with </w:t>
      </w:r>
      <w:r w:rsidR="002942EE">
        <w:rPr>
          <w:rFonts w:ascii="Arial" w:hAnsi="Arial" w:cs="Arial"/>
          <w:sz w:val="24"/>
          <w:szCs w:val="24"/>
        </w:rPr>
        <w:t xml:space="preserve">abroad, can have significant impact on their production cost and ability to compete. </w:t>
      </w:r>
      <w:r w:rsidR="00AC323F">
        <w:rPr>
          <w:rFonts w:ascii="Arial" w:hAnsi="Arial" w:cs="Arial"/>
          <w:sz w:val="24"/>
          <w:szCs w:val="24"/>
        </w:rPr>
        <w:t>This will in return deter investment</w:t>
      </w:r>
      <w:r w:rsidR="00EE2874">
        <w:rPr>
          <w:rFonts w:ascii="Arial" w:hAnsi="Arial" w:cs="Arial"/>
          <w:sz w:val="24"/>
          <w:szCs w:val="24"/>
        </w:rPr>
        <w:t>s</w:t>
      </w:r>
      <w:r w:rsidR="00E613DB">
        <w:rPr>
          <w:rFonts w:ascii="Arial" w:hAnsi="Arial" w:cs="Arial"/>
          <w:sz w:val="24"/>
          <w:szCs w:val="24"/>
        </w:rPr>
        <w:t xml:space="preserve">, trade and wider economic activities by EIIs. </w:t>
      </w:r>
    </w:p>
    <w:p w14:paraId="54D581DF" w14:textId="77777777" w:rsidR="002942EE" w:rsidRPr="002942EE" w:rsidRDefault="002942EE" w:rsidP="002942EE">
      <w:pPr>
        <w:pStyle w:val="ListParagraph"/>
        <w:rPr>
          <w:rFonts w:ascii="Arial" w:hAnsi="Arial" w:cs="Arial"/>
          <w:sz w:val="24"/>
          <w:szCs w:val="24"/>
        </w:rPr>
      </w:pPr>
    </w:p>
    <w:p w14:paraId="40032CAB" w14:textId="581E1122" w:rsidR="002942EE" w:rsidRPr="00AC323F" w:rsidRDefault="002942EE" w:rsidP="001706B4">
      <w:pPr>
        <w:pStyle w:val="ListParagraph"/>
        <w:numPr>
          <w:ilvl w:val="0"/>
          <w:numId w:val="2"/>
        </w:numPr>
        <w:rPr>
          <w:rFonts w:ascii="Arial" w:hAnsi="Arial" w:cs="Arial"/>
          <w:sz w:val="24"/>
          <w:szCs w:val="24"/>
        </w:rPr>
      </w:pPr>
      <w:r w:rsidRPr="00AC323F">
        <w:rPr>
          <w:rFonts w:ascii="Arial" w:hAnsi="Arial" w:cs="Arial"/>
          <w:sz w:val="24"/>
          <w:szCs w:val="24"/>
        </w:rPr>
        <w:t>One element of the retail energy price that Ofgem control</w:t>
      </w:r>
      <w:r w:rsidR="00E613DB">
        <w:rPr>
          <w:rFonts w:ascii="Arial" w:hAnsi="Arial" w:cs="Arial"/>
          <w:sz w:val="24"/>
          <w:szCs w:val="24"/>
        </w:rPr>
        <w:t xml:space="preserve">s are </w:t>
      </w:r>
      <w:r w:rsidRPr="00AC323F">
        <w:rPr>
          <w:rFonts w:ascii="Arial" w:hAnsi="Arial" w:cs="Arial"/>
          <w:sz w:val="24"/>
          <w:szCs w:val="24"/>
        </w:rPr>
        <w:t xml:space="preserve">network charges and </w:t>
      </w:r>
      <w:r w:rsidR="00E613DB">
        <w:rPr>
          <w:rFonts w:ascii="Arial" w:hAnsi="Arial" w:cs="Arial"/>
          <w:sz w:val="24"/>
          <w:szCs w:val="24"/>
        </w:rPr>
        <w:t xml:space="preserve">how they are allocated </w:t>
      </w:r>
      <w:r w:rsidRPr="00AC323F">
        <w:rPr>
          <w:rFonts w:ascii="Arial" w:hAnsi="Arial" w:cs="Arial"/>
          <w:sz w:val="24"/>
          <w:szCs w:val="24"/>
        </w:rPr>
        <w:t xml:space="preserve">to consumers. BEIS published a </w:t>
      </w:r>
      <w:hyperlink r:id="rId13" w:history="1">
        <w:r w:rsidRPr="00EF3551">
          <w:rPr>
            <w:rStyle w:val="Hyperlink"/>
            <w:rFonts w:ascii="Arial" w:hAnsi="Arial" w:cs="Arial"/>
            <w:sz w:val="24"/>
            <w:szCs w:val="24"/>
          </w:rPr>
          <w:t>CEPA study</w:t>
        </w:r>
      </w:hyperlink>
      <w:r w:rsidRPr="00AC323F">
        <w:rPr>
          <w:rFonts w:ascii="Arial" w:hAnsi="Arial" w:cs="Arial"/>
          <w:sz w:val="24"/>
          <w:szCs w:val="24"/>
        </w:rPr>
        <w:t xml:space="preserve"> into the allocation of electricity network charges in selected European countries and the differences in costs</w:t>
      </w:r>
      <w:r w:rsidR="0048705F">
        <w:rPr>
          <w:rStyle w:val="FootnoteReference"/>
          <w:rFonts w:ascii="Arial" w:hAnsi="Arial" w:cs="Arial"/>
          <w:sz w:val="24"/>
          <w:szCs w:val="24"/>
        </w:rPr>
        <w:footnoteReference w:id="1"/>
      </w:r>
      <w:r w:rsidRPr="00AC323F">
        <w:rPr>
          <w:rFonts w:ascii="Arial" w:hAnsi="Arial" w:cs="Arial"/>
          <w:sz w:val="24"/>
          <w:szCs w:val="24"/>
        </w:rPr>
        <w:t>. The figure below from</w:t>
      </w:r>
      <w:r w:rsidR="002909D7">
        <w:rPr>
          <w:rFonts w:ascii="Arial" w:hAnsi="Arial" w:cs="Arial"/>
          <w:sz w:val="24"/>
          <w:szCs w:val="24"/>
        </w:rPr>
        <w:t xml:space="preserve"> the</w:t>
      </w:r>
      <w:r w:rsidRPr="00AC323F">
        <w:rPr>
          <w:rFonts w:ascii="Arial" w:hAnsi="Arial" w:cs="Arial"/>
          <w:sz w:val="24"/>
          <w:szCs w:val="24"/>
        </w:rPr>
        <w:t xml:space="preserve"> study shows </w:t>
      </w:r>
      <w:r w:rsidR="00AC323F" w:rsidRPr="00AC323F">
        <w:rPr>
          <w:rFonts w:ascii="Arial" w:hAnsi="Arial" w:cs="Arial"/>
          <w:sz w:val="24"/>
          <w:szCs w:val="24"/>
        </w:rPr>
        <w:t>the variation in the use-of-system charges by country and consumer (with and without discounts)</w:t>
      </w:r>
      <w:r w:rsidR="00AC323F">
        <w:rPr>
          <w:rFonts w:ascii="Arial" w:hAnsi="Arial" w:cs="Arial"/>
          <w:sz w:val="24"/>
          <w:szCs w:val="24"/>
        </w:rPr>
        <w:t xml:space="preserve">. </w:t>
      </w:r>
    </w:p>
    <w:p w14:paraId="2E9972F7" w14:textId="71930D8E" w:rsidR="007A6820" w:rsidRDefault="002942EE" w:rsidP="007A6820">
      <w:pPr>
        <w:rPr>
          <w:rFonts w:ascii="Arial" w:hAnsi="Arial" w:cs="Arial"/>
          <w:sz w:val="24"/>
          <w:szCs w:val="24"/>
        </w:rPr>
      </w:pPr>
      <w:r w:rsidRPr="002942EE">
        <w:rPr>
          <w:rFonts w:ascii="Arial" w:hAnsi="Arial" w:cs="Arial"/>
          <w:noProof/>
          <w:sz w:val="24"/>
          <w:szCs w:val="24"/>
        </w:rPr>
        <w:drawing>
          <wp:inline distT="0" distB="0" distL="0" distR="0" wp14:anchorId="427BB7EB" wp14:editId="0C768447">
            <wp:extent cx="5731510" cy="2762250"/>
            <wp:effectExtent l="0" t="0" r="2540" b="0"/>
            <wp:docPr id="210609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762250"/>
                    </a:xfrm>
                    <a:prstGeom prst="rect">
                      <a:avLst/>
                    </a:prstGeom>
                    <a:noFill/>
                    <a:ln>
                      <a:noFill/>
                    </a:ln>
                  </pic:spPr>
                </pic:pic>
              </a:graphicData>
            </a:graphic>
          </wp:inline>
        </w:drawing>
      </w:r>
    </w:p>
    <w:p w14:paraId="708A5585" w14:textId="6E75EE04" w:rsidR="009744DA" w:rsidRDefault="00AC323F" w:rsidP="009C0063">
      <w:pPr>
        <w:pStyle w:val="ListParagraph"/>
        <w:numPr>
          <w:ilvl w:val="0"/>
          <w:numId w:val="2"/>
        </w:numPr>
        <w:rPr>
          <w:rFonts w:ascii="Arial" w:hAnsi="Arial" w:cs="Arial"/>
          <w:sz w:val="24"/>
          <w:szCs w:val="24"/>
        </w:rPr>
      </w:pPr>
      <w:r w:rsidRPr="00AC323F">
        <w:rPr>
          <w:rFonts w:ascii="Arial" w:hAnsi="Arial" w:cs="Arial"/>
          <w:sz w:val="24"/>
          <w:szCs w:val="24"/>
        </w:rPr>
        <w:t>Charges per kWh generally decrease with the size of the customer: users at higher voltage levels are allocated a smaller share of the overall costs and fixed/capacity charges are spread over a larger consumption base. EII users are generally below €1/kWh (even before discounts) apart from in Germany</w:t>
      </w:r>
      <w:r>
        <w:rPr>
          <w:rFonts w:ascii="Arial" w:hAnsi="Arial" w:cs="Arial"/>
          <w:sz w:val="24"/>
          <w:szCs w:val="24"/>
        </w:rPr>
        <w:t xml:space="preserve"> </w:t>
      </w:r>
      <w:r w:rsidRPr="00AC323F">
        <w:rPr>
          <w:rFonts w:ascii="Arial" w:hAnsi="Arial" w:cs="Arial"/>
          <w:sz w:val="24"/>
          <w:szCs w:val="24"/>
        </w:rPr>
        <w:t xml:space="preserve">where </w:t>
      </w:r>
      <w:r>
        <w:rPr>
          <w:rFonts w:ascii="Arial" w:hAnsi="Arial" w:cs="Arial"/>
          <w:sz w:val="24"/>
          <w:szCs w:val="24"/>
        </w:rPr>
        <w:t xml:space="preserve">specific </w:t>
      </w:r>
      <w:r w:rsidRPr="00AC323F">
        <w:rPr>
          <w:rFonts w:ascii="Arial" w:hAnsi="Arial" w:cs="Arial"/>
          <w:sz w:val="24"/>
          <w:szCs w:val="24"/>
        </w:rPr>
        <w:t>discounts for large users are availabl</w:t>
      </w:r>
      <w:r>
        <w:rPr>
          <w:rFonts w:ascii="Arial" w:hAnsi="Arial" w:cs="Arial"/>
          <w:sz w:val="24"/>
          <w:szCs w:val="24"/>
        </w:rPr>
        <w:t>e</w:t>
      </w:r>
      <w:r w:rsidRPr="00AC323F">
        <w:rPr>
          <w:rFonts w:ascii="Arial" w:hAnsi="Arial" w:cs="Arial"/>
          <w:sz w:val="24"/>
          <w:szCs w:val="24"/>
        </w:rPr>
        <w:t>.</w:t>
      </w:r>
      <w:r>
        <w:rPr>
          <w:rFonts w:ascii="Arial" w:hAnsi="Arial" w:cs="Arial"/>
          <w:sz w:val="24"/>
          <w:szCs w:val="24"/>
        </w:rPr>
        <w:t xml:space="preserve"> Nonetheless, the GB charges are at the higher end and Ofgem’s recent regulatory changes to transmission network use of system charges have put them up further. </w:t>
      </w:r>
    </w:p>
    <w:p w14:paraId="0D0CEB38" w14:textId="77777777" w:rsidR="003D3CF2" w:rsidRDefault="003D3CF2" w:rsidP="003D3CF2">
      <w:pPr>
        <w:pStyle w:val="ListParagraph"/>
        <w:ind w:left="360"/>
        <w:rPr>
          <w:rFonts w:ascii="Arial" w:hAnsi="Arial" w:cs="Arial"/>
          <w:sz w:val="24"/>
          <w:szCs w:val="24"/>
        </w:rPr>
      </w:pPr>
    </w:p>
    <w:p w14:paraId="4B328D59" w14:textId="350D1933" w:rsidR="00AD4B6D" w:rsidRDefault="00CF51CC" w:rsidP="00D71D32">
      <w:pPr>
        <w:pStyle w:val="ListParagraph"/>
        <w:numPr>
          <w:ilvl w:val="0"/>
          <w:numId w:val="2"/>
        </w:numPr>
        <w:rPr>
          <w:rFonts w:ascii="Arial" w:hAnsi="Arial" w:cs="Arial"/>
          <w:sz w:val="24"/>
          <w:szCs w:val="24"/>
        </w:rPr>
      </w:pPr>
      <w:r w:rsidRPr="005F665A">
        <w:rPr>
          <w:rFonts w:ascii="Arial" w:hAnsi="Arial" w:cs="Arial"/>
          <w:sz w:val="24"/>
          <w:szCs w:val="24"/>
        </w:rPr>
        <w:t xml:space="preserve">The Government has </w:t>
      </w:r>
      <w:r w:rsidR="005F665A" w:rsidRPr="005F665A">
        <w:rPr>
          <w:rFonts w:ascii="Arial" w:hAnsi="Arial" w:cs="Arial"/>
          <w:sz w:val="24"/>
          <w:szCs w:val="24"/>
        </w:rPr>
        <w:t xml:space="preserve">introduced </w:t>
      </w:r>
      <w:r w:rsidR="00490232">
        <w:rPr>
          <w:rFonts w:ascii="Arial" w:hAnsi="Arial" w:cs="Arial"/>
          <w:sz w:val="24"/>
          <w:szCs w:val="24"/>
        </w:rPr>
        <w:t xml:space="preserve">some </w:t>
      </w:r>
      <w:r w:rsidR="005F665A" w:rsidRPr="005F665A">
        <w:rPr>
          <w:rFonts w:ascii="Arial" w:hAnsi="Arial" w:cs="Arial"/>
          <w:sz w:val="24"/>
          <w:szCs w:val="24"/>
        </w:rPr>
        <w:t xml:space="preserve">specific measures to tackle </w:t>
      </w:r>
      <w:r w:rsidR="008B64AC">
        <w:rPr>
          <w:rFonts w:ascii="Arial" w:hAnsi="Arial" w:cs="Arial"/>
          <w:sz w:val="24"/>
          <w:szCs w:val="24"/>
        </w:rPr>
        <w:t>electricity</w:t>
      </w:r>
      <w:r w:rsidR="005F665A" w:rsidRPr="005F665A">
        <w:rPr>
          <w:rFonts w:ascii="Arial" w:hAnsi="Arial" w:cs="Arial"/>
          <w:sz w:val="24"/>
          <w:szCs w:val="24"/>
        </w:rPr>
        <w:t xml:space="preserve"> costs faced by the most energy intensive industries to ensure they are as competitive as possible</w:t>
      </w:r>
      <w:r w:rsidR="00490232">
        <w:rPr>
          <w:rFonts w:ascii="Arial" w:hAnsi="Arial" w:cs="Arial"/>
          <w:sz w:val="24"/>
          <w:szCs w:val="24"/>
        </w:rPr>
        <w:t xml:space="preserve"> with other countries</w:t>
      </w:r>
      <w:r w:rsidR="005F665A" w:rsidRPr="005F665A">
        <w:rPr>
          <w:rFonts w:ascii="Arial" w:hAnsi="Arial" w:cs="Arial"/>
          <w:sz w:val="24"/>
          <w:szCs w:val="24"/>
        </w:rPr>
        <w:t xml:space="preserve">. </w:t>
      </w:r>
      <w:r w:rsidR="005F665A">
        <w:rPr>
          <w:rFonts w:ascii="Arial" w:hAnsi="Arial" w:cs="Arial"/>
          <w:sz w:val="24"/>
          <w:szCs w:val="24"/>
        </w:rPr>
        <w:t xml:space="preserve">This includes compensation for the indirect emission cost due to the UK ETS and carbon price support mechanism but also </w:t>
      </w:r>
      <w:r w:rsidR="00184904">
        <w:rPr>
          <w:rFonts w:ascii="Arial" w:hAnsi="Arial" w:cs="Arial"/>
          <w:sz w:val="24"/>
          <w:szCs w:val="24"/>
        </w:rPr>
        <w:t xml:space="preserve">part exemption from the cost of the UK renewable financing policies, such as the Renewables Obligation, </w:t>
      </w:r>
      <w:r w:rsidR="000E2177">
        <w:rPr>
          <w:rFonts w:ascii="Arial" w:hAnsi="Arial" w:cs="Arial"/>
          <w:sz w:val="24"/>
          <w:szCs w:val="24"/>
        </w:rPr>
        <w:t>small-scale feed-in tariff and the Contract-for-Difference.</w:t>
      </w:r>
      <w:r w:rsidR="00490232">
        <w:rPr>
          <w:rFonts w:ascii="Arial" w:hAnsi="Arial" w:cs="Arial"/>
          <w:sz w:val="24"/>
          <w:szCs w:val="24"/>
        </w:rPr>
        <w:t xml:space="preserve"> Although </w:t>
      </w:r>
      <w:r w:rsidR="002909D7">
        <w:rPr>
          <w:rFonts w:ascii="Arial" w:hAnsi="Arial" w:cs="Arial"/>
          <w:sz w:val="24"/>
          <w:szCs w:val="24"/>
        </w:rPr>
        <w:t xml:space="preserve">it should be noted that </w:t>
      </w:r>
      <w:r w:rsidR="00207E2C">
        <w:rPr>
          <w:rFonts w:ascii="Arial" w:hAnsi="Arial" w:cs="Arial"/>
          <w:sz w:val="24"/>
          <w:szCs w:val="24"/>
        </w:rPr>
        <w:t>eligibility</w:t>
      </w:r>
      <w:r w:rsidR="002909D7">
        <w:rPr>
          <w:rFonts w:ascii="Arial" w:hAnsi="Arial" w:cs="Arial"/>
          <w:sz w:val="24"/>
          <w:szCs w:val="24"/>
        </w:rPr>
        <w:t xml:space="preserve"> for </w:t>
      </w:r>
      <w:r w:rsidR="00207E2C">
        <w:rPr>
          <w:rFonts w:ascii="Arial" w:hAnsi="Arial" w:cs="Arial"/>
          <w:sz w:val="24"/>
          <w:szCs w:val="24"/>
        </w:rPr>
        <w:t xml:space="preserve">schemes to </w:t>
      </w:r>
      <w:r w:rsidR="00207E2C">
        <w:rPr>
          <w:rFonts w:ascii="Arial" w:hAnsi="Arial" w:cs="Arial"/>
          <w:sz w:val="24"/>
          <w:szCs w:val="24"/>
        </w:rPr>
        <w:lastRenderedPageBreak/>
        <w:t xml:space="preserve">compensate certain EIIs for the indirect emission cost due to the UK ETS and carbon price support mechanism </w:t>
      </w:r>
      <w:r w:rsidR="002909D7">
        <w:rPr>
          <w:rFonts w:ascii="Arial" w:hAnsi="Arial" w:cs="Arial"/>
          <w:sz w:val="24"/>
          <w:szCs w:val="24"/>
        </w:rPr>
        <w:t xml:space="preserve">is significantly shorter than </w:t>
      </w:r>
      <w:r w:rsidR="00207E2C">
        <w:rPr>
          <w:rFonts w:ascii="Arial" w:hAnsi="Arial" w:cs="Arial"/>
          <w:sz w:val="24"/>
          <w:szCs w:val="24"/>
        </w:rPr>
        <w:t xml:space="preserve">eligibility for </w:t>
      </w:r>
      <w:r w:rsidR="002909D7">
        <w:rPr>
          <w:rFonts w:ascii="Arial" w:hAnsi="Arial" w:cs="Arial"/>
          <w:sz w:val="24"/>
          <w:szCs w:val="24"/>
        </w:rPr>
        <w:t>the EII exemption scheme</w:t>
      </w:r>
      <w:r w:rsidR="00207E2C">
        <w:rPr>
          <w:rFonts w:ascii="Arial" w:hAnsi="Arial" w:cs="Arial"/>
          <w:sz w:val="24"/>
          <w:szCs w:val="24"/>
        </w:rPr>
        <w:t>s</w:t>
      </w:r>
      <w:r w:rsidR="002909D7">
        <w:rPr>
          <w:rFonts w:ascii="Arial" w:hAnsi="Arial" w:cs="Arial"/>
          <w:sz w:val="24"/>
          <w:szCs w:val="24"/>
        </w:rPr>
        <w:t xml:space="preserve"> and many EII sectors do not receive </w:t>
      </w:r>
      <w:r w:rsidR="00207E2C">
        <w:rPr>
          <w:rFonts w:ascii="Arial" w:hAnsi="Arial" w:cs="Arial"/>
          <w:sz w:val="24"/>
          <w:szCs w:val="24"/>
        </w:rPr>
        <w:t xml:space="preserve">compensation for indirect emission cost. </w:t>
      </w:r>
      <w:r w:rsidR="006059BE">
        <w:rPr>
          <w:rFonts w:ascii="Arial" w:hAnsi="Arial" w:cs="Arial"/>
          <w:sz w:val="24"/>
          <w:szCs w:val="24"/>
        </w:rPr>
        <w:t xml:space="preserve">In Spring this year, DBT </w:t>
      </w:r>
      <w:hyperlink r:id="rId15" w:history="1">
        <w:r w:rsidR="006448B3" w:rsidRPr="003D3CF2">
          <w:rPr>
            <w:rStyle w:val="Hyperlink"/>
            <w:rFonts w:ascii="Arial" w:hAnsi="Arial" w:cs="Arial"/>
            <w:sz w:val="24"/>
            <w:szCs w:val="24"/>
          </w:rPr>
          <w:t>announced</w:t>
        </w:r>
      </w:hyperlink>
      <w:r w:rsidR="006448B3">
        <w:rPr>
          <w:rFonts w:ascii="Arial" w:hAnsi="Arial" w:cs="Arial"/>
          <w:sz w:val="24"/>
          <w:szCs w:val="24"/>
        </w:rPr>
        <w:t xml:space="preserve"> further “</w:t>
      </w:r>
      <w:r w:rsidR="006059BE" w:rsidRPr="006448B3">
        <w:rPr>
          <w:rFonts w:ascii="Arial" w:hAnsi="Arial" w:cs="Arial"/>
          <w:i/>
          <w:iCs/>
          <w:sz w:val="24"/>
          <w:szCs w:val="24"/>
        </w:rPr>
        <w:t>targeted measures to ensure the energy costs for key UK industries are in line with other major economies around the world – levelling the playing field for British companies across Europe</w:t>
      </w:r>
      <w:r w:rsidR="006448B3">
        <w:rPr>
          <w:rFonts w:ascii="Arial" w:hAnsi="Arial" w:cs="Arial"/>
          <w:sz w:val="24"/>
          <w:szCs w:val="24"/>
        </w:rPr>
        <w:t>”</w:t>
      </w:r>
      <w:r w:rsidR="006059BE" w:rsidRPr="006059BE">
        <w:rPr>
          <w:rFonts w:ascii="Arial" w:hAnsi="Arial" w:cs="Arial"/>
          <w:sz w:val="24"/>
          <w:szCs w:val="24"/>
        </w:rPr>
        <w:t>.</w:t>
      </w:r>
      <w:r w:rsidR="00DD5496">
        <w:rPr>
          <w:rFonts w:ascii="Arial" w:hAnsi="Arial" w:cs="Arial"/>
          <w:sz w:val="24"/>
          <w:szCs w:val="24"/>
        </w:rPr>
        <w:t xml:space="preserve"> The Government has recognised that securing</w:t>
      </w:r>
      <w:r w:rsidR="00DD5496" w:rsidRPr="00DD5496">
        <w:rPr>
          <w:rFonts w:ascii="Arial" w:hAnsi="Arial" w:cs="Arial"/>
          <w:sz w:val="24"/>
          <w:szCs w:val="24"/>
        </w:rPr>
        <w:t xml:space="preserve"> a competitive future for these industries a</w:t>
      </w:r>
      <w:r w:rsidR="0098274A">
        <w:rPr>
          <w:rFonts w:ascii="Arial" w:hAnsi="Arial" w:cs="Arial"/>
          <w:sz w:val="24"/>
          <w:szCs w:val="24"/>
        </w:rPr>
        <w:t xml:space="preserve">dds to the </w:t>
      </w:r>
      <w:r w:rsidR="00DD5496" w:rsidRPr="00DD5496">
        <w:rPr>
          <w:rFonts w:ascii="Arial" w:hAnsi="Arial" w:cs="Arial"/>
          <w:sz w:val="24"/>
          <w:szCs w:val="24"/>
        </w:rPr>
        <w:t>long-term resilience of the UK economy for global investment</w:t>
      </w:r>
      <w:r w:rsidR="0098274A">
        <w:rPr>
          <w:rFonts w:ascii="Arial" w:hAnsi="Arial" w:cs="Arial"/>
          <w:sz w:val="24"/>
          <w:szCs w:val="24"/>
        </w:rPr>
        <w:t xml:space="preserve"> and thereby economic growth. </w:t>
      </w:r>
    </w:p>
    <w:p w14:paraId="6D657143" w14:textId="77777777" w:rsidR="00AD4B6D" w:rsidRPr="00AD4B6D" w:rsidRDefault="00AD4B6D" w:rsidP="00AD4B6D">
      <w:pPr>
        <w:pStyle w:val="ListParagraph"/>
        <w:rPr>
          <w:rFonts w:ascii="Arial" w:hAnsi="Arial" w:cs="Arial"/>
          <w:sz w:val="24"/>
          <w:szCs w:val="24"/>
        </w:rPr>
      </w:pPr>
    </w:p>
    <w:p w14:paraId="02B87BEF" w14:textId="20276DD3" w:rsidR="00AD4B6D" w:rsidRDefault="00AD4B6D" w:rsidP="00D71D32">
      <w:pPr>
        <w:pStyle w:val="ListParagraph"/>
        <w:numPr>
          <w:ilvl w:val="0"/>
          <w:numId w:val="2"/>
        </w:numPr>
        <w:rPr>
          <w:rFonts w:ascii="Arial" w:hAnsi="Arial" w:cs="Arial"/>
          <w:sz w:val="24"/>
          <w:szCs w:val="24"/>
        </w:rPr>
      </w:pPr>
      <w:r>
        <w:rPr>
          <w:rFonts w:ascii="Arial" w:hAnsi="Arial" w:cs="Arial"/>
          <w:sz w:val="24"/>
          <w:szCs w:val="24"/>
        </w:rPr>
        <w:t xml:space="preserve">Furthermore, </w:t>
      </w:r>
      <w:r w:rsidR="00EC145E">
        <w:rPr>
          <w:rFonts w:ascii="Arial" w:hAnsi="Arial" w:cs="Arial"/>
          <w:sz w:val="24"/>
          <w:szCs w:val="24"/>
        </w:rPr>
        <w:t xml:space="preserve">seeing the important role the economic regulators have in </w:t>
      </w:r>
      <w:r w:rsidR="002909D7">
        <w:rPr>
          <w:rFonts w:ascii="Arial" w:hAnsi="Arial" w:cs="Arial"/>
          <w:sz w:val="24"/>
          <w:szCs w:val="24"/>
        </w:rPr>
        <w:t xml:space="preserve">achieving </w:t>
      </w:r>
      <w:r w:rsidR="00EC145E">
        <w:rPr>
          <w:rFonts w:ascii="Arial" w:hAnsi="Arial" w:cs="Arial"/>
          <w:sz w:val="24"/>
          <w:szCs w:val="24"/>
        </w:rPr>
        <w:t xml:space="preserve">Net Zero, </w:t>
      </w:r>
      <w:r w:rsidR="00C705C4">
        <w:rPr>
          <w:rFonts w:ascii="Arial" w:hAnsi="Arial" w:cs="Arial"/>
          <w:sz w:val="24"/>
          <w:szCs w:val="24"/>
        </w:rPr>
        <w:t xml:space="preserve">HMT’s Net Zero Review recognised </w:t>
      </w:r>
      <w:r w:rsidR="007D243C">
        <w:rPr>
          <w:rFonts w:ascii="Arial" w:hAnsi="Arial" w:cs="Arial"/>
          <w:sz w:val="24"/>
          <w:szCs w:val="24"/>
        </w:rPr>
        <w:t xml:space="preserve">that </w:t>
      </w:r>
      <w:r w:rsidR="00EC145E">
        <w:rPr>
          <w:rFonts w:ascii="Arial" w:hAnsi="Arial" w:cs="Arial"/>
          <w:sz w:val="24"/>
          <w:szCs w:val="24"/>
        </w:rPr>
        <w:t>c</w:t>
      </w:r>
      <w:r w:rsidR="00EC145E" w:rsidRPr="00EC145E">
        <w:rPr>
          <w:rFonts w:ascii="Arial" w:hAnsi="Arial" w:cs="Arial"/>
          <w:sz w:val="24"/>
          <w:szCs w:val="24"/>
        </w:rPr>
        <w:t xml:space="preserve">limate </w:t>
      </w:r>
      <w:r w:rsidR="00EC145E">
        <w:rPr>
          <w:rFonts w:ascii="Arial" w:hAnsi="Arial" w:cs="Arial"/>
          <w:sz w:val="24"/>
          <w:szCs w:val="24"/>
        </w:rPr>
        <w:t>measures</w:t>
      </w:r>
      <w:r w:rsidR="00EC145E" w:rsidRPr="00EC145E">
        <w:rPr>
          <w:rFonts w:ascii="Arial" w:hAnsi="Arial" w:cs="Arial"/>
          <w:sz w:val="24"/>
          <w:szCs w:val="24"/>
        </w:rPr>
        <w:t xml:space="preserve"> </w:t>
      </w:r>
      <w:r w:rsidR="00EC145E">
        <w:rPr>
          <w:rFonts w:ascii="Arial" w:hAnsi="Arial" w:cs="Arial"/>
          <w:sz w:val="24"/>
          <w:szCs w:val="24"/>
        </w:rPr>
        <w:t>“</w:t>
      </w:r>
      <w:r w:rsidR="00EC145E" w:rsidRPr="00867527">
        <w:rPr>
          <w:rFonts w:ascii="Arial" w:hAnsi="Arial" w:cs="Arial"/>
          <w:i/>
          <w:iCs/>
          <w:sz w:val="24"/>
          <w:szCs w:val="24"/>
        </w:rPr>
        <w:t>designed to reduce emissions in a given country can increase the costs of production of its businesses (</w:t>
      </w:r>
      <w:r w:rsidR="00F97D2E" w:rsidRPr="00867527">
        <w:rPr>
          <w:rFonts w:ascii="Arial" w:hAnsi="Arial" w:cs="Arial"/>
          <w:i/>
          <w:iCs/>
          <w:sz w:val="24"/>
          <w:szCs w:val="24"/>
        </w:rPr>
        <w:t>…</w:t>
      </w:r>
      <w:r w:rsidR="00EC145E" w:rsidRPr="00867527">
        <w:rPr>
          <w:rFonts w:ascii="Arial" w:hAnsi="Arial" w:cs="Arial"/>
          <w:i/>
          <w:iCs/>
          <w:sz w:val="24"/>
          <w:szCs w:val="24"/>
        </w:rPr>
        <w:t>) relative to international competitors if those competitors are subject to weaker climate change mitigation policies. If such rules and policies (</w:t>
      </w:r>
      <w:r w:rsidR="00F97D2E" w:rsidRPr="00867527">
        <w:rPr>
          <w:rFonts w:ascii="Arial" w:hAnsi="Arial" w:cs="Arial"/>
          <w:i/>
          <w:iCs/>
          <w:sz w:val="24"/>
          <w:szCs w:val="24"/>
        </w:rPr>
        <w:t>…</w:t>
      </w:r>
      <w:r w:rsidR="00EC145E" w:rsidRPr="00867527">
        <w:rPr>
          <w:rFonts w:ascii="Arial" w:hAnsi="Arial" w:cs="Arial"/>
          <w:i/>
          <w:iCs/>
          <w:sz w:val="24"/>
          <w:szCs w:val="24"/>
        </w:rPr>
        <w:t>), are not implemented in an equivalent way across jurisdictions, this can result in production and the associated greenhouse gas (GHG) emissions being displaced, undermining the original environmental objective of climate mitigation policies - this displacement of GHG emissions is known as carbon leakage</w:t>
      </w:r>
      <w:r w:rsidR="00EC145E" w:rsidRPr="00EC145E">
        <w:rPr>
          <w:rFonts w:ascii="Arial" w:hAnsi="Arial" w:cs="Arial"/>
          <w:sz w:val="24"/>
          <w:szCs w:val="24"/>
        </w:rPr>
        <w:t xml:space="preserve">”.  </w:t>
      </w:r>
      <w:r w:rsidR="00BB5955">
        <w:rPr>
          <w:rFonts w:ascii="Arial" w:hAnsi="Arial" w:cs="Arial"/>
          <w:sz w:val="24"/>
          <w:szCs w:val="24"/>
        </w:rPr>
        <w:t>The Government’s Net Zero Strategy r</w:t>
      </w:r>
      <w:r w:rsidR="00BB5955" w:rsidRPr="00BB5955">
        <w:rPr>
          <w:rFonts w:ascii="Arial" w:hAnsi="Arial" w:cs="Arial"/>
          <w:sz w:val="24"/>
          <w:szCs w:val="24"/>
        </w:rPr>
        <w:t>ecognise</w:t>
      </w:r>
      <w:r w:rsidR="00BB5955">
        <w:rPr>
          <w:rFonts w:ascii="Arial" w:hAnsi="Arial" w:cs="Arial"/>
          <w:sz w:val="24"/>
          <w:szCs w:val="24"/>
        </w:rPr>
        <w:t>s</w:t>
      </w:r>
      <w:r w:rsidR="00BB5955" w:rsidRPr="00BB5955">
        <w:rPr>
          <w:rFonts w:ascii="Arial" w:hAnsi="Arial" w:cs="Arial"/>
          <w:sz w:val="24"/>
          <w:szCs w:val="24"/>
        </w:rPr>
        <w:t xml:space="preserve"> </w:t>
      </w:r>
      <w:r w:rsidR="00BB5955">
        <w:rPr>
          <w:rFonts w:ascii="Arial" w:hAnsi="Arial" w:cs="Arial"/>
          <w:sz w:val="24"/>
          <w:szCs w:val="24"/>
        </w:rPr>
        <w:t>“</w:t>
      </w:r>
      <w:r w:rsidR="00BB5955" w:rsidRPr="00BB5955">
        <w:rPr>
          <w:rFonts w:ascii="Arial" w:hAnsi="Arial" w:cs="Arial"/>
          <w:i/>
          <w:iCs/>
          <w:sz w:val="24"/>
          <w:szCs w:val="24"/>
        </w:rPr>
        <w:t>the importance of addressing the risk of carbon leakage so policy interventions do not lead to increased emissions elsewhere, and to ensure that UK industry has the confidence needed to fully decarbonise</w:t>
      </w:r>
      <w:r w:rsidR="00BB5955">
        <w:rPr>
          <w:rFonts w:ascii="Arial" w:hAnsi="Arial" w:cs="Arial"/>
          <w:sz w:val="24"/>
          <w:szCs w:val="24"/>
        </w:rPr>
        <w:t>”</w:t>
      </w:r>
      <w:r w:rsidR="00BB5955" w:rsidRPr="00BB5955">
        <w:rPr>
          <w:rFonts w:ascii="Arial" w:hAnsi="Arial" w:cs="Arial"/>
          <w:sz w:val="24"/>
          <w:szCs w:val="24"/>
        </w:rPr>
        <w:t>.</w:t>
      </w:r>
    </w:p>
    <w:p w14:paraId="7A772A4E" w14:textId="77777777" w:rsidR="00AD4B6D" w:rsidRPr="00AD4B6D" w:rsidRDefault="00AD4B6D" w:rsidP="00AD4B6D">
      <w:pPr>
        <w:pStyle w:val="ListParagraph"/>
        <w:rPr>
          <w:rFonts w:ascii="Arial" w:hAnsi="Arial" w:cs="Arial"/>
          <w:sz w:val="24"/>
          <w:szCs w:val="24"/>
        </w:rPr>
      </w:pPr>
    </w:p>
    <w:p w14:paraId="2908A433" w14:textId="24EEAC30" w:rsidR="00E613DB" w:rsidRDefault="007F3F9F" w:rsidP="00D71D32">
      <w:pPr>
        <w:pStyle w:val="ListParagraph"/>
        <w:numPr>
          <w:ilvl w:val="0"/>
          <w:numId w:val="2"/>
        </w:numPr>
        <w:rPr>
          <w:rFonts w:ascii="Arial" w:hAnsi="Arial" w:cs="Arial"/>
          <w:sz w:val="24"/>
          <w:szCs w:val="24"/>
        </w:rPr>
      </w:pPr>
      <w:r>
        <w:rPr>
          <w:rFonts w:ascii="Arial" w:hAnsi="Arial" w:cs="Arial"/>
          <w:sz w:val="24"/>
          <w:szCs w:val="24"/>
        </w:rPr>
        <w:t xml:space="preserve">Whilst Government has </w:t>
      </w:r>
      <w:r w:rsidR="00057825">
        <w:rPr>
          <w:rFonts w:ascii="Arial" w:hAnsi="Arial" w:cs="Arial"/>
          <w:sz w:val="24"/>
          <w:szCs w:val="24"/>
        </w:rPr>
        <w:t xml:space="preserve">recognised </w:t>
      </w:r>
      <w:r w:rsidR="002E53DF">
        <w:rPr>
          <w:rFonts w:ascii="Arial" w:hAnsi="Arial" w:cs="Arial"/>
          <w:sz w:val="24"/>
          <w:szCs w:val="24"/>
        </w:rPr>
        <w:t>that</w:t>
      </w:r>
      <w:r w:rsidR="00057825">
        <w:rPr>
          <w:rFonts w:ascii="Arial" w:hAnsi="Arial" w:cs="Arial"/>
          <w:sz w:val="24"/>
          <w:szCs w:val="24"/>
        </w:rPr>
        <w:t xml:space="preserve"> </w:t>
      </w:r>
      <w:r w:rsidR="00A615F9">
        <w:rPr>
          <w:rFonts w:ascii="Arial" w:hAnsi="Arial" w:cs="Arial"/>
          <w:sz w:val="24"/>
          <w:szCs w:val="24"/>
        </w:rPr>
        <w:t xml:space="preserve">the business environment of </w:t>
      </w:r>
      <w:r w:rsidR="00057825">
        <w:rPr>
          <w:rFonts w:ascii="Arial" w:hAnsi="Arial" w:cs="Arial"/>
          <w:sz w:val="24"/>
          <w:szCs w:val="24"/>
        </w:rPr>
        <w:t>relative</w:t>
      </w:r>
      <w:r w:rsidR="002909D7">
        <w:rPr>
          <w:rFonts w:ascii="Arial" w:hAnsi="Arial" w:cs="Arial"/>
          <w:sz w:val="24"/>
          <w:szCs w:val="24"/>
        </w:rPr>
        <w:t>ly</w:t>
      </w:r>
      <w:r w:rsidR="00057825">
        <w:rPr>
          <w:rFonts w:ascii="Arial" w:hAnsi="Arial" w:cs="Arial"/>
          <w:sz w:val="24"/>
          <w:szCs w:val="24"/>
        </w:rPr>
        <w:t xml:space="preserve"> high industrial electricity prices and the risk of carbon leakage</w:t>
      </w:r>
      <w:r w:rsidR="00A615F9">
        <w:rPr>
          <w:rFonts w:ascii="Arial" w:hAnsi="Arial" w:cs="Arial"/>
          <w:sz w:val="24"/>
          <w:szCs w:val="24"/>
        </w:rPr>
        <w:t xml:space="preserve"> deter investment</w:t>
      </w:r>
      <w:r w:rsidR="004C11AE">
        <w:rPr>
          <w:rFonts w:ascii="Arial" w:hAnsi="Arial" w:cs="Arial"/>
          <w:sz w:val="24"/>
          <w:szCs w:val="24"/>
        </w:rPr>
        <w:t xml:space="preserve">s and trade by EIIs </w:t>
      </w:r>
      <w:r w:rsidR="006560F0">
        <w:rPr>
          <w:rFonts w:ascii="Arial" w:hAnsi="Arial" w:cs="Arial"/>
          <w:sz w:val="24"/>
          <w:szCs w:val="24"/>
        </w:rPr>
        <w:t xml:space="preserve">– and </w:t>
      </w:r>
      <w:r w:rsidR="00490232">
        <w:rPr>
          <w:rFonts w:ascii="Arial" w:hAnsi="Arial" w:cs="Arial"/>
          <w:sz w:val="24"/>
          <w:szCs w:val="24"/>
        </w:rPr>
        <w:t xml:space="preserve">is taking some </w:t>
      </w:r>
      <w:r w:rsidR="006560F0">
        <w:rPr>
          <w:rFonts w:ascii="Arial" w:hAnsi="Arial" w:cs="Arial"/>
          <w:sz w:val="24"/>
          <w:szCs w:val="24"/>
        </w:rPr>
        <w:t>measures to address them</w:t>
      </w:r>
      <w:r w:rsidR="004C11AE">
        <w:rPr>
          <w:rFonts w:ascii="Arial" w:hAnsi="Arial" w:cs="Arial"/>
          <w:sz w:val="24"/>
          <w:szCs w:val="24"/>
        </w:rPr>
        <w:t xml:space="preserve"> – the </w:t>
      </w:r>
      <w:r w:rsidR="00B0324C">
        <w:rPr>
          <w:rFonts w:ascii="Arial" w:hAnsi="Arial" w:cs="Arial"/>
          <w:sz w:val="24"/>
          <w:szCs w:val="24"/>
        </w:rPr>
        <w:t xml:space="preserve">energy regulator </w:t>
      </w:r>
      <w:r w:rsidR="00087AE1">
        <w:rPr>
          <w:rFonts w:ascii="Arial" w:hAnsi="Arial" w:cs="Arial"/>
          <w:sz w:val="24"/>
          <w:szCs w:val="24"/>
        </w:rPr>
        <w:t>has not</w:t>
      </w:r>
      <w:r w:rsidR="00B0324C">
        <w:rPr>
          <w:rFonts w:ascii="Arial" w:hAnsi="Arial" w:cs="Arial"/>
          <w:sz w:val="24"/>
          <w:szCs w:val="24"/>
        </w:rPr>
        <w:t xml:space="preserve">. The </w:t>
      </w:r>
      <w:r w:rsidR="00087AE1">
        <w:rPr>
          <w:rFonts w:ascii="Arial" w:hAnsi="Arial" w:cs="Arial"/>
          <w:sz w:val="24"/>
          <w:szCs w:val="24"/>
        </w:rPr>
        <w:t xml:space="preserve">EIUG therefore supports extending the growth duty to the economic regulators. </w:t>
      </w:r>
    </w:p>
    <w:p w14:paraId="61C0E5D5" w14:textId="77777777" w:rsidR="0084250E" w:rsidRPr="005F665A" w:rsidRDefault="0084250E" w:rsidP="0084250E">
      <w:pPr>
        <w:pStyle w:val="ListParagraph"/>
        <w:ind w:left="360"/>
        <w:rPr>
          <w:rFonts w:ascii="Arial" w:hAnsi="Arial" w:cs="Arial"/>
          <w:sz w:val="24"/>
          <w:szCs w:val="24"/>
        </w:rPr>
      </w:pPr>
    </w:p>
    <w:p w14:paraId="0737537B" w14:textId="2500663E" w:rsidR="009744DA" w:rsidRPr="00146F86" w:rsidRDefault="0084250E" w:rsidP="0084250E">
      <w:pPr>
        <w:rPr>
          <w:rFonts w:ascii="Arial" w:hAnsi="Arial" w:cs="Arial"/>
          <w:b/>
          <w:bCs/>
          <w:i/>
          <w:iCs/>
          <w:sz w:val="24"/>
          <w:szCs w:val="24"/>
        </w:rPr>
      </w:pPr>
      <w:r w:rsidRPr="0084250E">
        <w:rPr>
          <w:rFonts w:ascii="Arial" w:hAnsi="Arial" w:cs="Arial"/>
          <w:b/>
          <w:bCs/>
          <w:i/>
          <w:iCs/>
          <w:sz w:val="24"/>
          <w:szCs w:val="24"/>
        </w:rPr>
        <w:t xml:space="preserve">What additional guidance would be beneficial to support effective </w:t>
      </w:r>
      <w:r>
        <w:rPr>
          <w:rFonts w:ascii="Arial" w:hAnsi="Arial" w:cs="Arial"/>
          <w:b/>
          <w:bCs/>
          <w:i/>
          <w:iCs/>
          <w:sz w:val="24"/>
          <w:szCs w:val="24"/>
        </w:rPr>
        <w:t>i</w:t>
      </w:r>
      <w:r w:rsidRPr="0084250E">
        <w:rPr>
          <w:rFonts w:ascii="Arial" w:hAnsi="Arial" w:cs="Arial"/>
          <w:b/>
          <w:bCs/>
          <w:i/>
          <w:iCs/>
          <w:sz w:val="24"/>
          <w:szCs w:val="24"/>
        </w:rPr>
        <w:t>mplementation of the growth duty?</w:t>
      </w:r>
    </w:p>
    <w:p w14:paraId="662EB3BB" w14:textId="2B8C3F31" w:rsidR="008A1E2B" w:rsidRDefault="00617E50" w:rsidP="00F76E5E">
      <w:pPr>
        <w:pStyle w:val="ListParagraph"/>
        <w:numPr>
          <w:ilvl w:val="0"/>
          <w:numId w:val="2"/>
        </w:numPr>
        <w:rPr>
          <w:rFonts w:ascii="Arial" w:hAnsi="Arial" w:cs="Arial"/>
          <w:sz w:val="24"/>
          <w:szCs w:val="24"/>
        </w:rPr>
      </w:pPr>
      <w:r>
        <w:rPr>
          <w:rFonts w:ascii="Arial" w:hAnsi="Arial" w:cs="Arial"/>
          <w:sz w:val="24"/>
          <w:szCs w:val="24"/>
        </w:rPr>
        <w:t xml:space="preserve">The EIUG believes that </w:t>
      </w:r>
      <w:r w:rsidR="004C2309">
        <w:rPr>
          <w:rFonts w:ascii="Arial" w:hAnsi="Arial" w:cs="Arial"/>
          <w:sz w:val="24"/>
          <w:szCs w:val="24"/>
        </w:rPr>
        <w:t>additional guidance on understanding</w:t>
      </w:r>
      <w:r w:rsidR="0094186E">
        <w:rPr>
          <w:rFonts w:ascii="Arial" w:hAnsi="Arial" w:cs="Arial"/>
          <w:sz w:val="24"/>
          <w:szCs w:val="24"/>
        </w:rPr>
        <w:t xml:space="preserve"> </w:t>
      </w:r>
      <w:r w:rsidR="002909D7">
        <w:rPr>
          <w:rFonts w:ascii="Arial" w:hAnsi="Arial" w:cs="Arial"/>
          <w:sz w:val="24"/>
          <w:szCs w:val="24"/>
        </w:rPr>
        <w:t>the</w:t>
      </w:r>
      <w:r w:rsidR="0094186E">
        <w:rPr>
          <w:rFonts w:ascii="Arial" w:hAnsi="Arial" w:cs="Arial"/>
          <w:sz w:val="24"/>
          <w:szCs w:val="24"/>
        </w:rPr>
        <w:t xml:space="preserve"> differences amongst</w:t>
      </w:r>
      <w:r w:rsidR="004C2309">
        <w:rPr>
          <w:rFonts w:ascii="Arial" w:hAnsi="Arial" w:cs="Arial"/>
          <w:sz w:val="24"/>
          <w:szCs w:val="24"/>
        </w:rPr>
        <w:t xml:space="preserve"> consumers </w:t>
      </w:r>
      <w:r w:rsidR="008C2EC1">
        <w:rPr>
          <w:rFonts w:ascii="Arial" w:hAnsi="Arial" w:cs="Arial"/>
          <w:sz w:val="24"/>
          <w:szCs w:val="24"/>
        </w:rPr>
        <w:t xml:space="preserve">and </w:t>
      </w:r>
      <w:r w:rsidR="00E81449">
        <w:rPr>
          <w:rFonts w:ascii="Arial" w:hAnsi="Arial" w:cs="Arial"/>
          <w:sz w:val="24"/>
          <w:szCs w:val="24"/>
        </w:rPr>
        <w:t>incorporating that understanding in</w:t>
      </w:r>
      <w:r w:rsidR="00381B8D">
        <w:rPr>
          <w:rFonts w:ascii="Arial" w:hAnsi="Arial" w:cs="Arial"/>
          <w:sz w:val="24"/>
          <w:szCs w:val="24"/>
        </w:rPr>
        <w:t>to internal analysis and</w:t>
      </w:r>
      <w:r w:rsidR="00E81449">
        <w:rPr>
          <w:rFonts w:ascii="Arial" w:hAnsi="Arial" w:cs="Arial"/>
          <w:sz w:val="24"/>
          <w:szCs w:val="24"/>
        </w:rPr>
        <w:t xml:space="preserve"> regulatory decision-making </w:t>
      </w:r>
      <w:r w:rsidR="008F6516">
        <w:rPr>
          <w:rFonts w:ascii="Arial" w:hAnsi="Arial" w:cs="Arial"/>
          <w:sz w:val="24"/>
          <w:szCs w:val="24"/>
        </w:rPr>
        <w:t xml:space="preserve">would be beneficial. </w:t>
      </w:r>
      <w:r w:rsidR="000B64E5">
        <w:rPr>
          <w:rFonts w:ascii="Arial" w:hAnsi="Arial" w:cs="Arial"/>
          <w:sz w:val="24"/>
          <w:szCs w:val="24"/>
        </w:rPr>
        <w:t xml:space="preserve">A better understanding of the business environment of </w:t>
      </w:r>
      <w:r w:rsidR="00250ED7">
        <w:rPr>
          <w:rFonts w:ascii="Arial" w:hAnsi="Arial" w:cs="Arial"/>
          <w:sz w:val="24"/>
          <w:szCs w:val="24"/>
        </w:rPr>
        <w:t>different consumers</w:t>
      </w:r>
      <w:r w:rsidR="002909D7">
        <w:rPr>
          <w:rFonts w:ascii="Arial" w:hAnsi="Arial" w:cs="Arial"/>
          <w:sz w:val="24"/>
          <w:szCs w:val="24"/>
        </w:rPr>
        <w:t xml:space="preserve"> is also required</w:t>
      </w:r>
      <w:r w:rsidR="00490232">
        <w:rPr>
          <w:rFonts w:ascii="Arial" w:hAnsi="Arial" w:cs="Arial"/>
          <w:sz w:val="24"/>
          <w:szCs w:val="24"/>
        </w:rPr>
        <w:t>.</w:t>
      </w:r>
      <w:r w:rsidR="00250ED7">
        <w:rPr>
          <w:rFonts w:ascii="Arial" w:hAnsi="Arial" w:cs="Arial"/>
          <w:sz w:val="24"/>
          <w:szCs w:val="24"/>
        </w:rPr>
        <w:t xml:space="preserve"> </w:t>
      </w:r>
      <w:r w:rsidR="008F6516">
        <w:rPr>
          <w:rFonts w:ascii="Arial" w:hAnsi="Arial" w:cs="Arial"/>
          <w:sz w:val="24"/>
          <w:szCs w:val="24"/>
        </w:rPr>
        <w:t>For example, Ofgem already focuses more on fuel poor hou</w:t>
      </w:r>
      <w:r w:rsidR="009A53D2">
        <w:rPr>
          <w:rFonts w:ascii="Arial" w:hAnsi="Arial" w:cs="Arial"/>
          <w:sz w:val="24"/>
          <w:szCs w:val="24"/>
        </w:rPr>
        <w:t>seholds</w:t>
      </w:r>
      <w:r w:rsidR="0032559B">
        <w:rPr>
          <w:rFonts w:ascii="Arial" w:hAnsi="Arial" w:cs="Arial"/>
          <w:sz w:val="24"/>
          <w:szCs w:val="24"/>
        </w:rPr>
        <w:t xml:space="preserve"> – a</w:t>
      </w:r>
      <w:r w:rsidR="0075202B">
        <w:rPr>
          <w:rFonts w:ascii="Arial" w:hAnsi="Arial" w:cs="Arial"/>
          <w:sz w:val="24"/>
          <w:szCs w:val="24"/>
        </w:rPr>
        <w:t xml:space="preserve">s per its secondary duties </w:t>
      </w:r>
      <w:r w:rsidR="0032559B">
        <w:rPr>
          <w:rFonts w:ascii="Arial" w:hAnsi="Arial" w:cs="Arial"/>
          <w:sz w:val="24"/>
          <w:szCs w:val="24"/>
        </w:rPr>
        <w:t xml:space="preserve">– and how its regulatory decision-making impacts on them, but </w:t>
      </w:r>
      <w:r w:rsidR="009A53D2">
        <w:rPr>
          <w:rFonts w:ascii="Arial" w:hAnsi="Arial" w:cs="Arial"/>
          <w:sz w:val="24"/>
          <w:szCs w:val="24"/>
        </w:rPr>
        <w:t>has far less understanding of non-domestic consumers.</w:t>
      </w:r>
    </w:p>
    <w:p w14:paraId="1D2765BF" w14:textId="77777777" w:rsidR="008B2682" w:rsidRDefault="008B2682" w:rsidP="008B2682">
      <w:pPr>
        <w:pStyle w:val="ListParagraph"/>
        <w:ind w:left="360"/>
        <w:rPr>
          <w:rFonts w:ascii="Arial" w:hAnsi="Arial" w:cs="Arial"/>
          <w:sz w:val="24"/>
          <w:szCs w:val="24"/>
        </w:rPr>
      </w:pPr>
    </w:p>
    <w:p w14:paraId="57498A06" w14:textId="6B6DB446" w:rsidR="00C36422" w:rsidRPr="00C36422" w:rsidRDefault="003A0AB8" w:rsidP="00685FA6">
      <w:pPr>
        <w:pStyle w:val="ListParagraph"/>
        <w:numPr>
          <w:ilvl w:val="0"/>
          <w:numId w:val="2"/>
        </w:numPr>
        <w:rPr>
          <w:rFonts w:ascii="Arial" w:hAnsi="Arial" w:cs="Arial"/>
          <w:sz w:val="24"/>
          <w:szCs w:val="24"/>
        </w:rPr>
      </w:pPr>
      <w:r w:rsidRPr="00C36422">
        <w:rPr>
          <w:rFonts w:ascii="Arial" w:hAnsi="Arial" w:cs="Arial"/>
          <w:sz w:val="24"/>
          <w:szCs w:val="24"/>
        </w:rPr>
        <w:t xml:space="preserve">Ofgem did </w:t>
      </w:r>
      <w:r w:rsidR="00A54149" w:rsidRPr="00C36422">
        <w:rPr>
          <w:rFonts w:ascii="Arial" w:hAnsi="Arial" w:cs="Arial"/>
          <w:sz w:val="24"/>
          <w:szCs w:val="24"/>
        </w:rPr>
        <w:t>publish</w:t>
      </w:r>
      <w:r w:rsidRPr="00C36422">
        <w:rPr>
          <w:rFonts w:ascii="Arial" w:hAnsi="Arial" w:cs="Arial"/>
          <w:sz w:val="24"/>
          <w:szCs w:val="24"/>
        </w:rPr>
        <w:t xml:space="preserve"> </w:t>
      </w:r>
      <w:hyperlink r:id="rId16" w:history="1">
        <w:r w:rsidR="00A54149" w:rsidRPr="00C36422">
          <w:rPr>
            <w:rStyle w:val="Hyperlink"/>
            <w:rFonts w:ascii="Arial" w:hAnsi="Arial" w:cs="Arial"/>
            <w:sz w:val="24"/>
            <w:szCs w:val="24"/>
          </w:rPr>
          <w:t>research</w:t>
        </w:r>
      </w:hyperlink>
      <w:r w:rsidR="00A54149" w:rsidRPr="00C36422">
        <w:rPr>
          <w:rFonts w:ascii="Arial" w:hAnsi="Arial" w:cs="Arial"/>
          <w:sz w:val="24"/>
          <w:szCs w:val="24"/>
        </w:rPr>
        <w:t xml:space="preserve"> into GB electricity prices for EIIs in 2021</w:t>
      </w:r>
      <w:r w:rsidR="00392A0A">
        <w:rPr>
          <w:rStyle w:val="FootnoteReference"/>
          <w:rFonts w:ascii="Arial" w:hAnsi="Arial" w:cs="Arial"/>
          <w:sz w:val="24"/>
          <w:szCs w:val="24"/>
        </w:rPr>
        <w:footnoteReference w:id="2"/>
      </w:r>
      <w:r w:rsidR="00A54149" w:rsidRPr="00C36422">
        <w:rPr>
          <w:rFonts w:ascii="Arial" w:hAnsi="Arial" w:cs="Arial"/>
          <w:sz w:val="24"/>
          <w:szCs w:val="24"/>
        </w:rPr>
        <w:t xml:space="preserve">. </w:t>
      </w:r>
      <w:r w:rsidR="00C36422" w:rsidRPr="00C36422">
        <w:rPr>
          <w:rFonts w:ascii="Arial" w:hAnsi="Arial" w:cs="Arial"/>
          <w:sz w:val="24"/>
          <w:szCs w:val="24"/>
        </w:rPr>
        <w:t>It found that there are three primary drivers of high GB electricity costs for EIIs.</w:t>
      </w:r>
    </w:p>
    <w:p w14:paraId="5E50115A" w14:textId="34ACEBD6" w:rsidR="00C36422" w:rsidRPr="00C50251" w:rsidRDefault="00C36422" w:rsidP="00A6136F">
      <w:pPr>
        <w:pStyle w:val="ListParagraph"/>
        <w:numPr>
          <w:ilvl w:val="0"/>
          <w:numId w:val="14"/>
        </w:numPr>
        <w:rPr>
          <w:rFonts w:ascii="Arial" w:hAnsi="Arial" w:cs="Arial"/>
          <w:sz w:val="24"/>
          <w:szCs w:val="24"/>
        </w:rPr>
      </w:pPr>
      <w:r w:rsidRPr="00C50251">
        <w:rPr>
          <w:rFonts w:ascii="Arial" w:hAnsi="Arial" w:cs="Arial"/>
          <w:sz w:val="24"/>
          <w:szCs w:val="24"/>
        </w:rPr>
        <w:t xml:space="preserve">Wholesale price is the largest component of EIIs’ electricity cost and GB has tended to have a higher wholesale electricity price than many European </w:t>
      </w:r>
      <w:r w:rsidRPr="00C50251">
        <w:rPr>
          <w:rFonts w:ascii="Arial" w:hAnsi="Arial" w:cs="Arial"/>
          <w:sz w:val="24"/>
          <w:szCs w:val="24"/>
        </w:rPr>
        <w:lastRenderedPageBreak/>
        <w:t xml:space="preserve">countries. This is partly due to an electricity mix that uses comparatively expensive natural gas as the marginal </w:t>
      </w:r>
      <w:r w:rsidR="00926ACD">
        <w:rPr>
          <w:rFonts w:ascii="Arial" w:hAnsi="Arial" w:cs="Arial"/>
          <w:sz w:val="24"/>
          <w:szCs w:val="24"/>
        </w:rPr>
        <w:t>fuel</w:t>
      </w:r>
      <w:r w:rsidRPr="00C50251">
        <w:rPr>
          <w:rFonts w:ascii="Arial" w:hAnsi="Arial" w:cs="Arial"/>
          <w:sz w:val="24"/>
          <w:szCs w:val="24"/>
        </w:rPr>
        <w:t xml:space="preserve">. The Carbon Price Support has also increased the marginal cost of electricity. </w:t>
      </w:r>
    </w:p>
    <w:p w14:paraId="389B4582" w14:textId="56760844" w:rsidR="00C36422" w:rsidRPr="00C50251" w:rsidRDefault="00C36422" w:rsidP="00A6136F">
      <w:pPr>
        <w:pStyle w:val="ListParagraph"/>
        <w:numPr>
          <w:ilvl w:val="0"/>
          <w:numId w:val="14"/>
        </w:numPr>
        <w:rPr>
          <w:rFonts w:ascii="Arial" w:hAnsi="Arial" w:cs="Arial"/>
          <w:sz w:val="24"/>
          <w:szCs w:val="24"/>
        </w:rPr>
      </w:pPr>
      <w:r w:rsidRPr="00C50251">
        <w:rPr>
          <w:rFonts w:ascii="Arial" w:hAnsi="Arial" w:cs="Arial"/>
          <w:sz w:val="24"/>
          <w:szCs w:val="24"/>
        </w:rPr>
        <w:t>While GB offers sizeable policy cost reductions for EIIs, these reduced policy costs</w:t>
      </w:r>
      <w:r w:rsidR="00C50251" w:rsidRPr="00C50251">
        <w:rPr>
          <w:rFonts w:ascii="Arial" w:hAnsi="Arial" w:cs="Arial"/>
          <w:sz w:val="24"/>
          <w:szCs w:val="24"/>
        </w:rPr>
        <w:t xml:space="preserve"> </w:t>
      </w:r>
      <w:r w:rsidRPr="00C50251">
        <w:rPr>
          <w:rFonts w:ascii="Arial" w:hAnsi="Arial" w:cs="Arial"/>
          <w:sz w:val="24"/>
          <w:szCs w:val="24"/>
        </w:rPr>
        <w:t xml:space="preserve">appear larger than the reduced policy costs in the countries </w:t>
      </w:r>
      <w:r w:rsidR="00A6136F">
        <w:rPr>
          <w:rFonts w:ascii="Arial" w:hAnsi="Arial" w:cs="Arial"/>
          <w:sz w:val="24"/>
          <w:szCs w:val="24"/>
        </w:rPr>
        <w:t>the research</w:t>
      </w:r>
      <w:r w:rsidRPr="00C50251">
        <w:rPr>
          <w:rFonts w:ascii="Arial" w:hAnsi="Arial" w:cs="Arial"/>
          <w:sz w:val="24"/>
          <w:szCs w:val="24"/>
        </w:rPr>
        <w:t xml:space="preserve"> looked at. </w:t>
      </w:r>
    </w:p>
    <w:p w14:paraId="4D63D898" w14:textId="3E296B83" w:rsidR="00C36422" w:rsidRPr="00A6136F" w:rsidRDefault="00A6136F" w:rsidP="00A6136F">
      <w:pPr>
        <w:pStyle w:val="ListParagraph"/>
        <w:numPr>
          <w:ilvl w:val="0"/>
          <w:numId w:val="14"/>
        </w:numPr>
        <w:rPr>
          <w:rFonts w:ascii="Arial" w:hAnsi="Arial" w:cs="Arial"/>
          <w:sz w:val="24"/>
          <w:szCs w:val="24"/>
        </w:rPr>
      </w:pPr>
      <w:r w:rsidRPr="00A6136F">
        <w:rPr>
          <w:rFonts w:ascii="Arial" w:hAnsi="Arial" w:cs="Arial"/>
          <w:sz w:val="24"/>
          <w:szCs w:val="24"/>
        </w:rPr>
        <w:t>N</w:t>
      </w:r>
      <w:r w:rsidR="00C36422" w:rsidRPr="00A6136F">
        <w:rPr>
          <w:rFonts w:ascii="Arial" w:hAnsi="Arial" w:cs="Arial"/>
          <w:sz w:val="24"/>
          <w:szCs w:val="24"/>
        </w:rPr>
        <w:t xml:space="preserve">etwork costs are also an important component of overall electricity cost. GB network costs appear higher mainly because Germany, France and the </w:t>
      </w:r>
    </w:p>
    <w:p w14:paraId="6C96CE22" w14:textId="0A791F0E" w:rsidR="00AF5DDA" w:rsidRDefault="00C36422" w:rsidP="00F07563">
      <w:pPr>
        <w:pStyle w:val="ListParagraph"/>
        <w:rPr>
          <w:rFonts w:ascii="Arial" w:hAnsi="Arial" w:cs="Arial"/>
          <w:sz w:val="24"/>
          <w:szCs w:val="24"/>
        </w:rPr>
      </w:pPr>
      <w:r w:rsidRPr="00C36422">
        <w:rPr>
          <w:rFonts w:ascii="Arial" w:hAnsi="Arial" w:cs="Arial"/>
          <w:sz w:val="24"/>
          <w:szCs w:val="24"/>
        </w:rPr>
        <w:t>Netherlands offer discounts on network costs.</w:t>
      </w:r>
    </w:p>
    <w:p w14:paraId="73E3F887" w14:textId="68E02EDB" w:rsidR="008B2682" w:rsidRPr="003A642C" w:rsidRDefault="008B2682" w:rsidP="003A642C">
      <w:pPr>
        <w:pStyle w:val="ListParagraph"/>
        <w:ind w:left="360"/>
        <w:rPr>
          <w:rFonts w:ascii="Arial" w:hAnsi="Arial" w:cs="Arial"/>
          <w:sz w:val="24"/>
          <w:szCs w:val="24"/>
        </w:rPr>
      </w:pPr>
      <w:r w:rsidRPr="003A642C">
        <w:rPr>
          <w:rFonts w:ascii="Arial" w:hAnsi="Arial" w:cs="Arial"/>
          <w:sz w:val="24"/>
          <w:szCs w:val="24"/>
        </w:rPr>
        <w:t xml:space="preserve">Apart from drawing these analytical conclusions, </w:t>
      </w:r>
      <w:r w:rsidR="00926ACD">
        <w:rPr>
          <w:rFonts w:ascii="Arial" w:hAnsi="Arial" w:cs="Arial"/>
          <w:sz w:val="24"/>
          <w:szCs w:val="24"/>
        </w:rPr>
        <w:t>Ofgem</w:t>
      </w:r>
      <w:r w:rsidRPr="003A642C">
        <w:rPr>
          <w:rFonts w:ascii="Arial" w:hAnsi="Arial" w:cs="Arial"/>
          <w:sz w:val="24"/>
          <w:szCs w:val="24"/>
        </w:rPr>
        <w:t xml:space="preserve"> has not followed </w:t>
      </w:r>
      <w:r w:rsidR="00241A41" w:rsidRPr="003A642C">
        <w:rPr>
          <w:rFonts w:ascii="Arial" w:hAnsi="Arial" w:cs="Arial"/>
          <w:sz w:val="24"/>
          <w:szCs w:val="24"/>
        </w:rPr>
        <w:t xml:space="preserve">them up with any regulatory measures. </w:t>
      </w:r>
    </w:p>
    <w:p w14:paraId="7CBE62A3" w14:textId="77777777" w:rsidR="00241A41" w:rsidRDefault="00241A41" w:rsidP="00241A41">
      <w:pPr>
        <w:pStyle w:val="ListParagraph"/>
        <w:ind w:left="360"/>
        <w:rPr>
          <w:rFonts w:ascii="Arial" w:hAnsi="Arial" w:cs="Arial"/>
          <w:sz w:val="24"/>
          <w:szCs w:val="24"/>
        </w:rPr>
      </w:pPr>
    </w:p>
    <w:p w14:paraId="42ACC13F" w14:textId="6029B8AE" w:rsidR="00835B1D" w:rsidRDefault="009A410E" w:rsidP="00F76E5E">
      <w:pPr>
        <w:pStyle w:val="ListParagraph"/>
        <w:numPr>
          <w:ilvl w:val="0"/>
          <w:numId w:val="2"/>
        </w:numPr>
        <w:rPr>
          <w:rFonts w:ascii="Arial" w:hAnsi="Arial" w:cs="Arial"/>
          <w:sz w:val="24"/>
          <w:szCs w:val="24"/>
        </w:rPr>
      </w:pPr>
      <w:r>
        <w:rPr>
          <w:rFonts w:ascii="Arial" w:hAnsi="Arial" w:cs="Arial"/>
          <w:sz w:val="24"/>
          <w:szCs w:val="24"/>
        </w:rPr>
        <w:t xml:space="preserve">The EIUG therefore advocates </w:t>
      </w:r>
      <w:r w:rsidR="001951BB">
        <w:rPr>
          <w:rFonts w:ascii="Arial" w:hAnsi="Arial" w:cs="Arial"/>
          <w:sz w:val="24"/>
          <w:szCs w:val="24"/>
        </w:rPr>
        <w:t xml:space="preserve">that economic regulators identify the various characteristics of </w:t>
      </w:r>
      <w:r w:rsidR="00D031E5">
        <w:rPr>
          <w:rFonts w:ascii="Arial" w:hAnsi="Arial" w:cs="Arial"/>
          <w:sz w:val="24"/>
          <w:szCs w:val="24"/>
        </w:rPr>
        <w:t>consumers whose interest they aim to project</w:t>
      </w:r>
      <w:r w:rsidR="002A2004">
        <w:rPr>
          <w:rFonts w:ascii="Arial" w:hAnsi="Arial" w:cs="Arial"/>
          <w:sz w:val="24"/>
          <w:szCs w:val="24"/>
        </w:rPr>
        <w:t>,</w:t>
      </w:r>
      <w:r w:rsidR="00D031E5">
        <w:rPr>
          <w:rFonts w:ascii="Arial" w:hAnsi="Arial" w:cs="Arial"/>
          <w:sz w:val="24"/>
          <w:szCs w:val="24"/>
        </w:rPr>
        <w:t xml:space="preserve"> apply </w:t>
      </w:r>
      <w:r>
        <w:rPr>
          <w:rFonts w:ascii="Arial" w:hAnsi="Arial" w:cs="Arial"/>
          <w:sz w:val="24"/>
          <w:szCs w:val="24"/>
        </w:rPr>
        <w:t xml:space="preserve">the factors set out in section 2.4 of the </w:t>
      </w:r>
      <w:r w:rsidR="001951BB">
        <w:rPr>
          <w:rFonts w:ascii="Arial" w:hAnsi="Arial" w:cs="Arial"/>
          <w:sz w:val="24"/>
          <w:szCs w:val="24"/>
        </w:rPr>
        <w:t xml:space="preserve">statutory guidance </w:t>
      </w:r>
      <w:r w:rsidR="0043382C">
        <w:rPr>
          <w:rFonts w:ascii="Arial" w:hAnsi="Arial" w:cs="Arial"/>
          <w:sz w:val="24"/>
          <w:szCs w:val="24"/>
        </w:rPr>
        <w:t>to them and include the</w:t>
      </w:r>
      <w:r w:rsidR="00367C24">
        <w:rPr>
          <w:rFonts w:ascii="Arial" w:hAnsi="Arial" w:cs="Arial"/>
          <w:sz w:val="24"/>
          <w:szCs w:val="24"/>
        </w:rPr>
        <w:t xml:space="preserve"> conclusion </w:t>
      </w:r>
      <w:r w:rsidR="002A2004">
        <w:rPr>
          <w:rFonts w:ascii="Arial" w:hAnsi="Arial" w:cs="Arial"/>
          <w:sz w:val="24"/>
          <w:szCs w:val="24"/>
        </w:rPr>
        <w:t xml:space="preserve">of their assessment </w:t>
      </w:r>
      <w:r w:rsidR="00367C24">
        <w:rPr>
          <w:rFonts w:ascii="Arial" w:hAnsi="Arial" w:cs="Arial"/>
          <w:sz w:val="24"/>
          <w:szCs w:val="24"/>
        </w:rPr>
        <w:t xml:space="preserve">into their regulatory decision-making. </w:t>
      </w:r>
    </w:p>
    <w:p w14:paraId="787E5ECE" w14:textId="77777777" w:rsidR="00835B1D" w:rsidRPr="00835B1D" w:rsidRDefault="00835B1D" w:rsidP="00835B1D">
      <w:pPr>
        <w:pStyle w:val="ListParagraph"/>
        <w:rPr>
          <w:rFonts w:ascii="Arial" w:hAnsi="Arial" w:cs="Arial"/>
          <w:sz w:val="24"/>
          <w:szCs w:val="24"/>
        </w:rPr>
      </w:pPr>
    </w:p>
    <w:p w14:paraId="4694153A" w14:textId="7CA207C8" w:rsidR="00E81449" w:rsidRDefault="00E81449" w:rsidP="00F76E5E">
      <w:pPr>
        <w:pStyle w:val="ListParagraph"/>
        <w:numPr>
          <w:ilvl w:val="0"/>
          <w:numId w:val="2"/>
        </w:numPr>
        <w:rPr>
          <w:rFonts w:ascii="Arial" w:hAnsi="Arial" w:cs="Arial"/>
          <w:sz w:val="24"/>
          <w:szCs w:val="24"/>
        </w:rPr>
      </w:pPr>
      <w:r>
        <w:rPr>
          <w:rFonts w:ascii="Arial" w:hAnsi="Arial" w:cs="Arial"/>
          <w:sz w:val="24"/>
          <w:szCs w:val="24"/>
        </w:rPr>
        <w:t xml:space="preserve">It does mean </w:t>
      </w:r>
      <w:r w:rsidR="00DF4E58">
        <w:rPr>
          <w:rFonts w:ascii="Arial" w:hAnsi="Arial" w:cs="Arial"/>
          <w:sz w:val="24"/>
          <w:szCs w:val="24"/>
        </w:rPr>
        <w:t xml:space="preserve">the guidance needs to </w:t>
      </w:r>
      <w:r>
        <w:rPr>
          <w:rFonts w:ascii="Arial" w:hAnsi="Arial" w:cs="Arial"/>
          <w:sz w:val="24"/>
          <w:szCs w:val="24"/>
        </w:rPr>
        <w:t>go beyond</w:t>
      </w:r>
      <w:r w:rsidR="00DF4E58">
        <w:rPr>
          <w:rFonts w:ascii="Arial" w:hAnsi="Arial" w:cs="Arial"/>
          <w:sz w:val="24"/>
          <w:szCs w:val="24"/>
        </w:rPr>
        <w:t xml:space="preserve"> </w:t>
      </w:r>
      <w:r w:rsidR="007021A4">
        <w:rPr>
          <w:rFonts w:ascii="Arial" w:hAnsi="Arial" w:cs="Arial"/>
          <w:sz w:val="24"/>
          <w:szCs w:val="24"/>
        </w:rPr>
        <w:t xml:space="preserve">defining </w:t>
      </w:r>
      <w:r w:rsidR="00DF4E58">
        <w:rPr>
          <w:rFonts w:ascii="Arial" w:hAnsi="Arial" w:cs="Arial"/>
          <w:sz w:val="24"/>
          <w:szCs w:val="24"/>
        </w:rPr>
        <w:t>business</w:t>
      </w:r>
      <w:r w:rsidR="007021A4">
        <w:rPr>
          <w:rFonts w:ascii="Arial" w:hAnsi="Arial" w:cs="Arial"/>
          <w:sz w:val="24"/>
          <w:szCs w:val="24"/>
        </w:rPr>
        <w:t>es</w:t>
      </w:r>
      <w:r w:rsidR="00DF4E58">
        <w:rPr>
          <w:rFonts w:ascii="Arial" w:hAnsi="Arial" w:cs="Arial"/>
          <w:sz w:val="24"/>
          <w:szCs w:val="24"/>
        </w:rPr>
        <w:t xml:space="preserve"> as regulated entit</w:t>
      </w:r>
      <w:r w:rsidR="007021A4">
        <w:rPr>
          <w:rFonts w:ascii="Arial" w:hAnsi="Arial" w:cs="Arial"/>
          <w:sz w:val="24"/>
          <w:szCs w:val="24"/>
        </w:rPr>
        <w:t>ies</w:t>
      </w:r>
      <w:r w:rsidR="00DF4E58">
        <w:rPr>
          <w:rFonts w:ascii="Arial" w:hAnsi="Arial" w:cs="Arial"/>
          <w:sz w:val="24"/>
          <w:szCs w:val="24"/>
        </w:rPr>
        <w:t xml:space="preserve"> and also see business</w:t>
      </w:r>
      <w:r w:rsidR="007021A4">
        <w:rPr>
          <w:rFonts w:ascii="Arial" w:hAnsi="Arial" w:cs="Arial"/>
          <w:sz w:val="24"/>
          <w:szCs w:val="24"/>
        </w:rPr>
        <w:t>es</w:t>
      </w:r>
      <w:r w:rsidR="00DF4E58">
        <w:rPr>
          <w:rFonts w:ascii="Arial" w:hAnsi="Arial" w:cs="Arial"/>
          <w:sz w:val="24"/>
          <w:szCs w:val="24"/>
        </w:rPr>
        <w:t xml:space="preserve"> a</w:t>
      </w:r>
      <w:r w:rsidR="006A32E1">
        <w:rPr>
          <w:rFonts w:ascii="Arial" w:hAnsi="Arial" w:cs="Arial"/>
          <w:sz w:val="24"/>
          <w:szCs w:val="24"/>
        </w:rPr>
        <w:t xml:space="preserve">s </w:t>
      </w:r>
      <w:r w:rsidR="008A1E2B">
        <w:rPr>
          <w:rFonts w:ascii="Arial" w:hAnsi="Arial" w:cs="Arial"/>
          <w:sz w:val="24"/>
          <w:szCs w:val="24"/>
        </w:rPr>
        <w:t xml:space="preserve">consumers. </w:t>
      </w:r>
    </w:p>
    <w:p w14:paraId="47FACE71" w14:textId="77777777" w:rsidR="00A54478" w:rsidRDefault="00A54478" w:rsidP="00A54478">
      <w:pPr>
        <w:pStyle w:val="ListParagraph"/>
        <w:ind w:left="360"/>
        <w:rPr>
          <w:rFonts w:ascii="Arial" w:hAnsi="Arial" w:cs="Arial"/>
          <w:sz w:val="24"/>
          <w:szCs w:val="24"/>
        </w:rPr>
      </w:pPr>
    </w:p>
    <w:p w14:paraId="194D8BAF" w14:textId="4646ADFF" w:rsidR="003F6FB0" w:rsidRPr="003951F0" w:rsidRDefault="006D17B4" w:rsidP="003951F0">
      <w:pPr>
        <w:rPr>
          <w:rFonts w:ascii="Arial" w:hAnsi="Arial" w:cs="Arial"/>
          <w:sz w:val="24"/>
          <w:szCs w:val="24"/>
        </w:rPr>
      </w:pPr>
      <w:r w:rsidRPr="003951F0">
        <w:rPr>
          <w:rFonts w:ascii="Arial" w:hAnsi="Arial" w:cs="Arial"/>
          <w:b/>
          <w:bCs/>
          <w:i/>
          <w:iCs/>
          <w:sz w:val="24"/>
          <w:szCs w:val="24"/>
        </w:rPr>
        <w:t>How would you envisage a regulator’s actions changing as a result of a growth duty? Please outline any benefits you can foresee.</w:t>
      </w:r>
      <w:r w:rsidR="003F6FB0" w:rsidRPr="003951F0">
        <w:rPr>
          <w:rFonts w:ascii="Arial" w:hAnsi="Arial" w:cs="Arial"/>
          <w:b/>
          <w:bCs/>
          <w:i/>
          <w:iCs/>
          <w:sz w:val="24"/>
          <w:szCs w:val="24"/>
        </w:rPr>
        <w:t xml:space="preserve"> </w:t>
      </w:r>
    </w:p>
    <w:p w14:paraId="58E84E81" w14:textId="39BBB21E" w:rsidR="00C430CB" w:rsidRDefault="00832149" w:rsidP="009F78BD">
      <w:pPr>
        <w:pStyle w:val="ListParagraph"/>
        <w:numPr>
          <w:ilvl w:val="0"/>
          <w:numId w:val="2"/>
        </w:numPr>
        <w:rPr>
          <w:rFonts w:ascii="Arial" w:hAnsi="Arial" w:cs="Arial"/>
          <w:sz w:val="24"/>
          <w:szCs w:val="24"/>
        </w:rPr>
      </w:pPr>
      <w:r>
        <w:rPr>
          <w:rFonts w:ascii="Arial" w:hAnsi="Arial" w:cs="Arial"/>
          <w:sz w:val="24"/>
          <w:szCs w:val="24"/>
        </w:rPr>
        <w:t>Consume</w:t>
      </w:r>
      <w:r w:rsidR="00490232">
        <w:rPr>
          <w:rFonts w:ascii="Arial" w:hAnsi="Arial" w:cs="Arial"/>
          <w:sz w:val="24"/>
          <w:szCs w:val="24"/>
        </w:rPr>
        <w:t>r</w:t>
      </w:r>
      <w:r>
        <w:rPr>
          <w:rFonts w:ascii="Arial" w:hAnsi="Arial" w:cs="Arial"/>
          <w:sz w:val="24"/>
          <w:szCs w:val="24"/>
        </w:rPr>
        <w:t>s are not all the same</w:t>
      </w:r>
      <w:r w:rsidR="00BA2AE2">
        <w:rPr>
          <w:rFonts w:ascii="Arial" w:hAnsi="Arial" w:cs="Arial"/>
          <w:sz w:val="24"/>
          <w:szCs w:val="24"/>
        </w:rPr>
        <w:t xml:space="preserve">, but a welfare economic approach to economic analysis to inform </w:t>
      </w:r>
      <w:r w:rsidR="005B2065">
        <w:rPr>
          <w:rFonts w:ascii="Arial" w:hAnsi="Arial" w:cs="Arial"/>
          <w:sz w:val="24"/>
          <w:szCs w:val="24"/>
        </w:rPr>
        <w:t xml:space="preserve">regulatory decision-making treats them the same. Including more redistributive analysis </w:t>
      </w:r>
      <w:r w:rsidR="00E23D13">
        <w:rPr>
          <w:rFonts w:ascii="Arial" w:hAnsi="Arial" w:cs="Arial"/>
          <w:sz w:val="24"/>
          <w:szCs w:val="24"/>
        </w:rPr>
        <w:t xml:space="preserve">of different consumer groups and a better understanding of the business environment of them, </w:t>
      </w:r>
      <w:r w:rsidR="004B3ACD">
        <w:rPr>
          <w:rFonts w:ascii="Arial" w:hAnsi="Arial" w:cs="Arial"/>
          <w:sz w:val="24"/>
          <w:szCs w:val="24"/>
        </w:rPr>
        <w:t xml:space="preserve">in particular relative price differentials and risk of carbon leakage, </w:t>
      </w:r>
      <w:r w:rsidR="00F90631">
        <w:rPr>
          <w:rFonts w:ascii="Arial" w:hAnsi="Arial" w:cs="Arial"/>
          <w:sz w:val="24"/>
          <w:szCs w:val="24"/>
        </w:rPr>
        <w:t xml:space="preserve">will improve </w:t>
      </w:r>
      <w:r w:rsidR="00976A9A">
        <w:rPr>
          <w:rFonts w:ascii="Arial" w:hAnsi="Arial" w:cs="Arial"/>
          <w:sz w:val="24"/>
          <w:szCs w:val="24"/>
        </w:rPr>
        <w:t xml:space="preserve">regulator’s </w:t>
      </w:r>
      <w:r w:rsidR="008502C9">
        <w:rPr>
          <w:rFonts w:ascii="Arial" w:hAnsi="Arial" w:cs="Arial"/>
          <w:sz w:val="24"/>
          <w:szCs w:val="24"/>
        </w:rPr>
        <w:t>assessment</w:t>
      </w:r>
      <w:r w:rsidR="00926ACD">
        <w:rPr>
          <w:rFonts w:ascii="Arial" w:hAnsi="Arial" w:cs="Arial"/>
          <w:sz w:val="24"/>
          <w:szCs w:val="24"/>
        </w:rPr>
        <w:t xml:space="preserve"> of</w:t>
      </w:r>
      <w:r w:rsidR="008502C9">
        <w:rPr>
          <w:rFonts w:ascii="Arial" w:hAnsi="Arial" w:cs="Arial"/>
          <w:sz w:val="24"/>
          <w:szCs w:val="24"/>
        </w:rPr>
        <w:t xml:space="preserve"> how </w:t>
      </w:r>
      <w:r w:rsidR="00776E8C">
        <w:rPr>
          <w:rFonts w:ascii="Arial" w:hAnsi="Arial" w:cs="Arial"/>
          <w:sz w:val="24"/>
          <w:szCs w:val="24"/>
        </w:rPr>
        <w:t xml:space="preserve">its regulation might impact </w:t>
      </w:r>
      <w:r w:rsidR="00926ACD">
        <w:rPr>
          <w:rFonts w:ascii="Arial" w:hAnsi="Arial" w:cs="Arial"/>
          <w:sz w:val="24"/>
          <w:szCs w:val="24"/>
        </w:rPr>
        <w:t xml:space="preserve">them </w:t>
      </w:r>
      <w:r w:rsidR="00776E8C">
        <w:rPr>
          <w:rFonts w:ascii="Arial" w:hAnsi="Arial" w:cs="Arial"/>
          <w:sz w:val="24"/>
          <w:szCs w:val="24"/>
        </w:rPr>
        <w:t xml:space="preserve">and whether it might deter investments </w:t>
      </w:r>
      <w:r w:rsidR="00B050D8">
        <w:rPr>
          <w:rFonts w:ascii="Arial" w:hAnsi="Arial" w:cs="Arial"/>
          <w:sz w:val="24"/>
          <w:szCs w:val="24"/>
        </w:rPr>
        <w:t xml:space="preserve">of certain </w:t>
      </w:r>
      <w:r w:rsidR="00234DE2">
        <w:rPr>
          <w:rFonts w:ascii="Arial" w:hAnsi="Arial" w:cs="Arial"/>
          <w:sz w:val="24"/>
          <w:szCs w:val="24"/>
        </w:rPr>
        <w:t>consumer group</w:t>
      </w:r>
      <w:r w:rsidR="00B050D8">
        <w:rPr>
          <w:rFonts w:ascii="Arial" w:hAnsi="Arial" w:cs="Arial"/>
          <w:sz w:val="24"/>
          <w:szCs w:val="24"/>
        </w:rPr>
        <w:t>s</w:t>
      </w:r>
      <w:r w:rsidR="00234DE2">
        <w:rPr>
          <w:rFonts w:ascii="Arial" w:hAnsi="Arial" w:cs="Arial"/>
          <w:sz w:val="24"/>
          <w:szCs w:val="24"/>
        </w:rPr>
        <w:t xml:space="preserve">. </w:t>
      </w:r>
    </w:p>
    <w:p w14:paraId="08E1D75D" w14:textId="77777777" w:rsidR="003951F0" w:rsidRDefault="003951F0" w:rsidP="006E4F49">
      <w:pPr>
        <w:rPr>
          <w:rFonts w:ascii="Arial" w:hAnsi="Arial" w:cs="Arial"/>
          <w:b/>
          <w:bCs/>
          <w:i/>
          <w:iCs/>
          <w:sz w:val="24"/>
          <w:szCs w:val="24"/>
        </w:rPr>
      </w:pPr>
    </w:p>
    <w:p w14:paraId="57AA18E3" w14:textId="724980DF" w:rsidR="00A7195D" w:rsidRPr="006E4F49" w:rsidRDefault="006E4F49" w:rsidP="006E4F49">
      <w:pPr>
        <w:rPr>
          <w:rFonts w:ascii="Arial" w:hAnsi="Arial" w:cs="Arial"/>
          <w:b/>
          <w:bCs/>
          <w:i/>
          <w:iCs/>
          <w:sz w:val="24"/>
          <w:szCs w:val="24"/>
        </w:rPr>
      </w:pPr>
      <w:r w:rsidRPr="006E4F49">
        <w:rPr>
          <w:rFonts w:ascii="Arial" w:hAnsi="Arial" w:cs="Arial"/>
          <w:b/>
          <w:bCs/>
          <w:i/>
          <w:iCs/>
          <w:sz w:val="24"/>
          <w:szCs w:val="24"/>
        </w:rPr>
        <w:t>How do you foresee the growth duty interacting with existing statutory duties? Please provide examples.</w:t>
      </w:r>
    </w:p>
    <w:p w14:paraId="59EEEEE4" w14:textId="7B7277A6" w:rsidR="00234DE2" w:rsidRDefault="00000307" w:rsidP="009F78BD">
      <w:pPr>
        <w:pStyle w:val="ListParagraph"/>
        <w:numPr>
          <w:ilvl w:val="0"/>
          <w:numId w:val="2"/>
        </w:numPr>
        <w:rPr>
          <w:rFonts w:ascii="Arial" w:hAnsi="Arial" w:cs="Arial"/>
          <w:sz w:val="24"/>
          <w:szCs w:val="24"/>
        </w:rPr>
      </w:pPr>
      <w:r>
        <w:rPr>
          <w:rFonts w:ascii="Arial" w:hAnsi="Arial" w:cs="Arial"/>
          <w:sz w:val="24"/>
          <w:szCs w:val="24"/>
        </w:rPr>
        <w:t xml:space="preserve"> </w:t>
      </w:r>
      <w:r w:rsidR="007611F7">
        <w:rPr>
          <w:rFonts w:ascii="Arial" w:hAnsi="Arial" w:cs="Arial"/>
          <w:sz w:val="24"/>
          <w:szCs w:val="24"/>
        </w:rPr>
        <w:t xml:space="preserve">The EIUG does not foresee that extending the growth duty </w:t>
      </w:r>
      <w:r w:rsidR="00DF364C">
        <w:rPr>
          <w:rFonts w:ascii="Arial" w:hAnsi="Arial" w:cs="Arial"/>
          <w:sz w:val="24"/>
          <w:szCs w:val="24"/>
        </w:rPr>
        <w:t xml:space="preserve">has significant trade-offs with the existing statutory duties. However, it does interact with </w:t>
      </w:r>
      <w:r w:rsidR="00BF364E">
        <w:rPr>
          <w:rFonts w:ascii="Arial" w:hAnsi="Arial" w:cs="Arial"/>
          <w:sz w:val="24"/>
          <w:szCs w:val="24"/>
        </w:rPr>
        <w:t xml:space="preserve">Ofgem’s interpretation of cost-reflectivity. </w:t>
      </w:r>
      <w:r w:rsidR="003B5F51">
        <w:rPr>
          <w:rFonts w:ascii="Arial" w:hAnsi="Arial" w:cs="Arial"/>
          <w:sz w:val="24"/>
          <w:szCs w:val="24"/>
        </w:rPr>
        <w:t xml:space="preserve">In case of energy consumers, it’s interpretation of cost-reflectivity can have an adverse impact on economic growth. </w:t>
      </w:r>
    </w:p>
    <w:p w14:paraId="0408F8C7" w14:textId="77777777" w:rsidR="003951F0" w:rsidRDefault="003951F0" w:rsidP="007F199D">
      <w:pPr>
        <w:rPr>
          <w:rFonts w:ascii="Arial" w:hAnsi="Arial" w:cs="Arial"/>
          <w:b/>
          <w:bCs/>
          <w:i/>
          <w:iCs/>
          <w:sz w:val="24"/>
          <w:szCs w:val="24"/>
        </w:rPr>
      </w:pPr>
    </w:p>
    <w:p w14:paraId="2C9A2DC9" w14:textId="5B0FB112" w:rsidR="003B5F51" w:rsidRPr="007F199D" w:rsidRDefault="007F199D" w:rsidP="007F199D">
      <w:pPr>
        <w:rPr>
          <w:rFonts w:ascii="Arial" w:hAnsi="Arial" w:cs="Arial"/>
          <w:b/>
          <w:bCs/>
          <w:i/>
          <w:iCs/>
          <w:sz w:val="24"/>
          <w:szCs w:val="24"/>
        </w:rPr>
      </w:pPr>
      <w:r w:rsidRPr="007F199D">
        <w:rPr>
          <w:rFonts w:ascii="Arial" w:hAnsi="Arial" w:cs="Arial"/>
          <w:b/>
          <w:bCs/>
          <w:i/>
          <w:iCs/>
          <w:sz w:val="24"/>
          <w:szCs w:val="24"/>
        </w:rPr>
        <w:t>Is there any evidence that this will add significant costs to regulators or business? If so, why and what would those costs be?</w:t>
      </w:r>
    </w:p>
    <w:p w14:paraId="2E3A1B09" w14:textId="6073D7CA" w:rsidR="007A6820" w:rsidRDefault="00251F38" w:rsidP="001037A3">
      <w:pPr>
        <w:pStyle w:val="ListParagraph"/>
        <w:numPr>
          <w:ilvl w:val="0"/>
          <w:numId w:val="2"/>
        </w:numPr>
        <w:rPr>
          <w:rFonts w:ascii="Arial" w:hAnsi="Arial" w:cs="Arial"/>
          <w:sz w:val="24"/>
          <w:szCs w:val="24"/>
        </w:rPr>
      </w:pPr>
      <w:r w:rsidRPr="001037A3">
        <w:rPr>
          <w:rFonts w:ascii="Arial" w:hAnsi="Arial" w:cs="Arial"/>
          <w:sz w:val="24"/>
          <w:szCs w:val="24"/>
        </w:rPr>
        <w:t xml:space="preserve">The </w:t>
      </w:r>
      <w:r w:rsidR="001037A3">
        <w:rPr>
          <w:rFonts w:ascii="Arial" w:hAnsi="Arial" w:cs="Arial"/>
          <w:sz w:val="24"/>
          <w:szCs w:val="24"/>
        </w:rPr>
        <w:t>EIUG is not aware of any evidence that extending the growth duty will add significant costs t</w:t>
      </w:r>
      <w:r w:rsidR="00490232">
        <w:rPr>
          <w:rFonts w:ascii="Arial" w:hAnsi="Arial" w:cs="Arial"/>
          <w:sz w:val="24"/>
          <w:szCs w:val="24"/>
        </w:rPr>
        <w:t>o</w:t>
      </w:r>
      <w:r w:rsidR="001037A3">
        <w:rPr>
          <w:rFonts w:ascii="Arial" w:hAnsi="Arial" w:cs="Arial"/>
          <w:sz w:val="24"/>
          <w:szCs w:val="24"/>
        </w:rPr>
        <w:t xml:space="preserve"> regulators or businesses. </w:t>
      </w:r>
    </w:p>
    <w:p w14:paraId="207DB126" w14:textId="77777777" w:rsidR="003A642C" w:rsidRDefault="003A642C" w:rsidP="00553258">
      <w:pPr>
        <w:rPr>
          <w:rFonts w:ascii="Arial" w:hAnsi="Arial" w:cs="Arial"/>
          <w:b/>
          <w:bCs/>
          <w:i/>
          <w:iCs/>
          <w:sz w:val="24"/>
          <w:szCs w:val="24"/>
        </w:rPr>
      </w:pPr>
    </w:p>
    <w:p w14:paraId="1EF0C693" w14:textId="5283AC81" w:rsidR="001037A3" w:rsidRPr="000E35F0" w:rsidRDefault="00553258" w:rsidP="00553258">
      <w:pPr>
        <w:rPr>
          <w:rFonts w:ascii="Arial" w:hAnsi="Arial" w:cs="Arial"/>
          <w:b/>
          <w:bCs/>
          <w:i/>
          <w:iCs/>
          <w:sz w:val="24"/>
          <w:szCs w:val="24"/>
        </w:rPr>
      </w:pPr>
      <w:r w:rsidRPr="000E35F0">
        <w:rPr>
          <w:rFonts w:ascii="Arial" w:hAnsi="Arial" w:cs="Arial"/>
          <w:b/>
          <w:bCs/>
          <w:i/>
          <w:iCs/>
          <w:sz w:val="24"/>
          <w:szCs w:val="24"/>
        </w:rPr>
        <w:t>Are there alternative or additional means by which we could improve growth outcomes in these regulated sectors?</w:t>
      </w:r>
    </w:p>
    <w:p w14:paraId="59414C35" w14:textId="567D0C78" w:rsidR="00553258" w:rsidRPr="00975190" w:rsidRDefault="00975190" w:rsidP="00975190">
      <w:pPr>
        <w:pStyle w:val="ListParagraph"/>
        <w:numPr>
          <w:ilvl w:val="0"/>
          <w:numId w:val="2"/>
        </w:numPr>
        <w:rPr>
          <w:rFonts w:ascii="Arial" w:hAnsi="Arial" w:cs="Arial"/>
          <w:sz w:val="24"/>
          <w:szCs w:val="24"/>
        </w:rPr>
      </w:pPr>
      <w:r>
        <w:rPr>
          <w:rFonts w:ascii="Arial" w:hAnsi="Arial" w:cs="Arial"/>
          <w:sz w:val="24"/>
          <w:szCs w:val="24"/>
        </w:rPr>
        <w:t xml:space="preserve">The strategy and policy statements to the economic regulators might help, but </w:t>
      </w:r>
      <w:r w:rsidR="000E35F0">
        <w:rPr>
          <w:rFonts w:ascii="Arial" w:hAnsi="Arial" w:cs="Arial"/>
          <w:sz w:val="24"/>
          <w:szCs w:val="24"/>
        </w:rPr>
        <w:t>their regulatory decision-making process</w:t>
      </w:r>
      <w:r w:rsidR="00C81B4F">
        <w:rPr>
          <w:rFonts w:ascii="Arial" w:hAnsi="Arial" w:cs="Arial"/>
          <w:sz w:val="24"/>
          <w:szCs w:val="24"/>
        </w:rPr>
        <w:t>es</w:t>
      </w:r>
      <w:r w:rsidR="000E35F0">
        <w:rPr>
          <w:rFonts w:ascii="Arial" w:hAnsi="Arial" w:cs="Arial"/>
          <w:sz w:val="24"/>
          <w:szCs w:val="24"/>
        </w:rPr>
        <w:t xml:space="preserve"> have more regard to duties. </w:t>
      </w:r>
    </w:p>
    <w:p w14:paraId="0817B341" w14:textId="77777777" w:rsidR="00553258" w:rsidRPr="001037A3" w:rsidRDefault="00553258" w:rsidP="00553258">
      <w:pPr>
        <w:rPr>
          <w:rFonts w:ascii="Arial" w:hAnsi="Arial" w:cs="Arial"/>
          <w:sz w:val="24"/>
          <w:szCs w:val="24"/>
        </w:rPr>
      </w:pPr>
    </w:p>
    <w:p w14:paraId="7E6B93D4" w14:textId="102B7A8F" w:rsidR="002E3D94" w:rsidRDefault="002E3D94" w:rsidP="003E7AC7">
      <w:pPr>
        <w:rPr>
          <w:rFonts w:ascii="Arial" w:hAnsi="Arial" w:cs="Arial"/>
          <w:sz w:val="24"/>
          <w:szCs w:val="24"/>
        </w:rPr>
      </w:pPr>
      <w:r>
        <w:rPr>
          <w:rFonts w:ascii="Arial" w:hAnsi="Arial" w:cs="Arial"/>
          <w:sz w:val="24"/>
          <w:szCs w:val="24"/>
        </w:rPr>
        <w:t>Arjan Geveke</w:t>
      </w:r>
      <w:r w:rsidR="007D0D22">
        <w:rPr>
          <w:rFonts w:ascii="Arial" w:hAnsi="Arial" w:cs="Arial"/>
          <w:sz w:val="24"/>
          <w:szCs w:val="24"/>
        </w:rPr>
        <w:tab/>
      </w:r>
      <w:r w:rsidR="007D0D22">
        <w:rPr>
          <w:rFonts w:ascii="Arial" w:hAnsi="Arial" w:cs="Arial"/>
          <w:sz w:val="24"/>
          <w:szCs w:val="24"/>
        </w:rPr>
        <w:tab/>
      </w:r>
      <w:r w:rsidR="007D0D22">
        <w:rPr>
          <w:rFonts w:ascii="Arial" w:hAnsi="Arial" w:cs="Arial"/>
          <w:sz w:val="24"/>
          <w:szCs w:val="24"/>
        </w:rPr>
        <w:tab/>
      </w:r>
    </w:p>
    <w:p w14:paraId="415C6A21" w14:textId="77777777" w:rsidR="007A6820" w:rsidRDefault="002E3D94" w:rsidP="003E7AC7">
      <w:pPr>
        <w:rPr>
          <w:rFonts w:ascii="Arial" w:hAnsi="Arial" w:cs="Arial"/>
          <w:sz w:val="24"/>
          <w:szCs w:val="24"/>
        </w:rPr>
      </w:pPr>
      <w:r>
        <w:rPr>
          <w:rFonts w:ascii="Arial" w:hAnsi="Arial" w:cs="Arial"/>
          <w:sz w:val="24"/>
          <w:szCs w:val="24"/>
        </w:rPr>
        <w:t>Director EIUG</w:t>
      </w:r>
      <w:r w:rsidR="007D0D22">
        <w:rPr>
          <w:rFonts w:ascii="Arial" w:hAnsi="Arial" w:cs="Arial"/>
          <w:sz w:val="24"/>
          <w:szCs w:val="24"/>
        </w:rPr>
        <w:tab/>
      </w:r>
      <w:r w:rsidR="007D0D22">
        <w:rPr>
          <w:rFonts w:ascii="Arial" w:hAnsi="Arial" w:cs="Arial"/>
          <w:sz w:val="24"/>
          <w:szCs w:val="24"/>
        </w:rPr>
        <w:tab/>
      </w:r>
      <w:r w:rsidR="007D0D22">
        <w:rPr>
          <w:rFonts w:ascii="Arial" w:hAnsi="Arial" w:cs="Arial"/>
          <w:sz w:val="24"/>
          <w:szCs w:val="24"/>
        </w:rPr>
        <w:tab/>
      </w:r>
    </w:p>
    <w:p w14:paraId="3E502174" w14:textId="6CE3AFDD" w:rsidR="002E3D94" w:rsidRPr="003E7AC7" w:rsidRDefault="007D0D22" w:rsidP="003E7AC7">
      <w:pPr>
        <w:rPr>
          <w:rFonts w:ascii="Arial" w:hAnsi="Arial" w:cs="Arial"/>
          <w:sz w:val="24"/>
          <w:szCs w:val="24"/>
        </w:rPr>
      </w:pPr>
      <w:r>
        <w:rPr>
          <w:rFonts w:ascii="Arial" w:hAnsi="Arial" w:cs="Arial"/>
          <w:sz w:val="24"/>
          <w:szCs w:val="24"/>
        </w:rPr>
        <w:tab/>
      </w:r>
    </w:p>
    <w:sectPr w:rsidR="002E3D94" w:rsidRPr="003E7AC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15B9" w14:textId="77777777" w:rsidR="00150730" w:rsidRDefault="00150730" w:rsidP="0078318C">
      <w:pPr>
        <w:spacing w:after="0" w:line="240" w:lineRule="auto"/>
      </w:pPr>
      <w:r>
        <w:separator/>
      </w:r>
    </w:p>
  </w:endnote>
  <w:endnote w:type="continuationSeparator" w:id="0">
    <w:p w14:paraId="1E29AA54" w14:textId="77777777" w:rsidR="00150730" w:rsidRDefault="00150730" w:rsidP="0078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797195"/>
      <w:docPartObj>
        <w:docPartGallery w:val="Page Numbers (Bottom of Page)"/>
        <w:docPartUnique/>
      </w:docPartObj>
    </w:sdtPr>
    <w:sdtEndPr>
      <w:rPr>
        <w:noProof/>
      </w:rPr>
    </w:sdtEndPr>
    <w:sdtContent>
      <w:p w14:paraId="031F9103" w14:textId="53F55979" w:rsidR="002E3D94" w:rsidRDefault="002E3D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7FD11" w14:textId="77777777" w:rsidR="0078318C" w:rsidRDefault="0078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AFF8" w14:textId="77777777" w:rsidR="00150730" w:rsidRDefault="00150730" w:rsidP="0078318C">
      <w:pPr>
        <w:spacing w:after="0" w:line="240" w:lineRule="auto"/>
      </w:pPr>
      <w:r>
        <w:separator/>
      </w:r>
    </w:p>
  </w:footnote>
  <w:footnote w:type="continuationSeparator" w:id="0">
    <w:p w14:paraId="411B7BF9" w14:textId="77777777" w:rsidR="00150730" w:rsidRDefault="00150730" w:rsidP="0078318C">
      <w:pPr>
        <w:spacing w:after="0" w:line="240" w:lineRule="auto"/>
      </w:pPr>
      <w:r>
        <w:continuationSeparator/>
      </w:r>
    </w:p>
  </w:footnote>
  <w:footnote w:id="1">
    <w:p w14:paraId="7E5DBC64" w14:textId="7E4543C0" w:rsidR="0048705F" w:rsidRDefault="0048705F" w:rsidP="00574931">
      <w:pPr>
        <w:pStyle w:val="FootnoteText"/>
      </w:pPr>
      <w:r>
        <w:rPr>
          <w:rStyle w:val="FootnoteReference"/>
        </w:rPr>
        <w:footnoteRef/>
      </w:r>
      <w:r>
        <w:t xml:space="preserve"> </w:t>
      </w:r>
      <w:r w:rsidR="00574931">
        <w:t xml:space="preserve">CEPA (2019), </w:t>
      </w:r>
      <w:r w:rsidR="00574931" w:rsidRPr="00974A99">
        <w:rPr>
          <w:i/>
          <w:iCs/>
        </w:rPr>
        <w:t>Allocation of Electricity Network Charges to Different Consumer Groups in Selected Countries</w:t>
      </w:r>
      <w:r w:rsidR="00574931">
        <w:t xml:space="preserve">, </w:t>
      </w:r>
      <w:hyperlink r:id="rId1" w:history="1">
        <w:r w:rsidR="00217C41" w:rsidRPr="00974A99">
          <w:rPr>
            <w:rStyle w:val="Hyperlink"/>
          </w:rPr>
          <w:t>final report</w:t>
        </w:r>
      </w:hyperlink>
      <w:r w:rsidR="00217C41">
        <w:t xml:space="preserve"> for the Department for Business, Energy and Industrial Strategy, London: CEPS </w:t>
      </w:r>
      <w:r w:rsidR="00574931">
        <w:cr/>
      </w:r>
    </w:p>
  </w:footnote>
  <w:footnote w:id="2">
    <w:p w14:paraId="6AA9DDBC" w14:textId="67DFF06E" w:rsidR="00392A0A" w:rsidRDefault="00392A0A">
      <w:pPr>
        <w:pStyle w:val="FootnoteText"/>
      </w:pPr>
      <w:r>
        <w:rPr>
          <w:rStyle w:val="FootnoteReference"/>
        </w:rPr>
        <w:footnoteRef/>
      </w:r>
      <w:r>
        <w:t xml:space="preserve"> Ofgem (2021), </w:t>
      </w:r>
      <w:r w:rsidRPr="00A03E3A">
        <w:rPr>
          <w:i/>
          <w:iCs/>
        </w:rPr>
        <w:t>Research into GB electricity prices for Energy Intensive Industries</w:t>
      </w:r>
      <w:r>
        <w:t xml:space="preserve">, </w:t>
      </w:r>
      <w:r w:rsidR="00F940BB">
        <w:t xml:space="preserve">London: </w:t>
      </w:r>
      <w:hyperlink r:id="rId2" w:history="1">
        <w:r w:rsidR="00F940BB" w:rsidRPr="00A03E3A">
          <w:rPr>
            <w:rStyle w:val="Hyperlink"/>
          </w:rPr>
          <w:t>Ofgem</w:t>
        </w:r>
      </w:hyperlink>
      <w:r w:rsidR="00F940B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0CA"/>
    <w:multiLevelType w:val="hybridMultilevel"/>
    <w:tmpl w:val="DD6613DA"/>
    <w:lvl w:ilvl="0" w:tplc="ED8A6EE0">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283FFA"/>
    <w:multiLevelType w:val="hybridMultilevel"/>
    <w:tmpl w:val="E5AEDE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EB2BA0"/>
    <w:multiLevelType w:val="hybridMultilevel"/>
    <w:tmpl w:val="364C75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FC66A00"/>
    <w:multiLevelType w:val="hybridMultilevel"/>
    <w:tmpl w:val="6EF8A9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9127D6"/>
    <w:multiLevelType w:val="hybridMultilevel"/>
    <w:tmpl w:val="AE4A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92791"/>
    <w:multiLevelType w:val="hybridMultilevel"/>
    <w:tmpl w:val="8CC8672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A2B0834"/>
    <w:multiLevelType w:val="hybridMultilevel"/>
    <w:tmpl w:val="D0C2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D65E0F"/>
    <w:multiLevelType w:val="hybridMultilevel"/>
    <w:tmpl w:val="6C7A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D3C0B"/>
    <w:multiLevelType w:val="hybridMultilevel"/>
    <w:tmpl w:val="912AA030"/>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A50CC"/>
    <w:multiLevelType w:val="hybridMultilevel"/>
    <w:tmpl w:val="C3CE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16224"/>
    <w:multiLevelType w:val="hybridMultilevel"/>
    <w:tmpl w:val="FA1A56AC"/>
    <w:lvl w:ilvl="0" w:tplc="2522CC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6D1CA6"/>
    <w:multiLevelType w:val="hybridMultilevel"/>
    <w:tmpl w:val="7DE6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61499"/>
    <w:multiLevelType w:val="hybridMultilevel"/>
    <w:tmpl w:val="1DC67A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B024A9B"/>
    <w:multiLevelType w:val="hybridMultilevel"/>
    <w:tmpl w:val="D1204330"/>
    <w:lvl w:ilvl="0" w:tplc="6B3C523A">
      <w:start w:val="3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0152943">
    <w:abstractNumId w:val="10"/>
  </w:num>
  <w:num w:numId="2" w16cid:durableId="169687588">
    <w:abstractNumId w:val="0"/>
  </w:num>
  <w:num w:numId="3" w16cid:durableId="2020808906">
    <w:abstractNumId w:val="4"/>
  </w:num>
  <w:num w:numId="4" w16cid:durableId="1061100586">
    <w:abstractNumId w:val="13"/>
  </w:num>
  <w:num w:numId="5" w16cid:durableId="1827476606">
    <w:abstractNumId w:val="9"/>
  </w:num>
  <w:num w:numId="6" w16cid:durableId="1840074890">
    <w:abstractNumId w:val="12"/>
  </w:num>
  <w:num w:numId="7" w16cid:durableId="424619315">
    <w:abstractNumId w:val="5"/>
  </w:num>
  <w:num w:numId="8" w16cid:durableId="1260790564">
    <w:abstractNumId w:val="3"/>
  </w:num>
  <w:num w:numId="9" w16cid:durableId="168832868">
    <w:abstractNumId w:val="6"/>
  </w:num>
  <w:num w:numId="10" w16cid:durableId="33120837">
    <w:abstractNumId w:val="7"/>
  </w:num>
  <w:num w:numId="11" w16cid:durableId="1713142459">
    <w:abstractNumId w:val="2"/>
  </w:num>
  <w:num w:numId="12" w16cid:durableId="641427378">
    <w:abstractNumId w:val="1"/>
  </w:num>
  <w:num w:numId="13" w16cid:durableId="1043405229">
    <w:abstractNumId w:val="8"/>
  </w:num>
  <w:num w:numId="14" w16cid:durableId="914248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88"/>
    <w:rsid w:val="00000307"/>
    <w:rsid w:val="00000C05"/>
    <w:rsid w:val="00001FFA"/>
    <w:rsid w:val="0000232F"/>
    <w:rsid w:val="00005A76"/>
    <w:rsid w:val="000078BB"/>
    <w:rsid w:val="000078DD"/>
    <w:rsid w:val="00007FB5"/>
    <w:rsid w:val="000101DF"/>
    <w:rsid w:val="00010FCA"/>
    <w:rsid w:val="0001191D"/>
    <w:rsid w:val="0001268B"/>
    <w:rsid w:val="00013A09"/>
    <w:rsid w:val="000146EF"/>
    <w:rsid w:val="000148FD"/>
    <w:rsid w:val="00017802"/>
    <w:rsid w:val="00020185"/>
    <w:rsid w:val="000214B9"/>
    <w:rsid w:val="000226B2"/>
    <w:rsid w:val="00023F34"/>
    <w:rsid w:val="000242A3"/>
    <w:rsid w:val="00024F09"/>
    <w:rsid w:val="00032AF5"/>
    <w:rsid w:val="000339BC"/>
    <w:rsid w:val="00033C0D"/>
    <w:rsid w:val="000342CF"/>
    <w:rsid w:val="00034C23"/>
    <w:rsid w:val="00035B2A"/>
    <w:rsid w:val="000401A8"/>
    <w:rsid w:val="00040CC7"/>
    <w:rsid w:val="00042DCB"/>
    <w:rsid w:val="00044199"/>
    <w:rsid w:val="00046654"/>
    <w:rsid w:val="0004739D"/>
    <w:rsid w:val="00050DED"/>
    <w:rsid w:val="000534EE"/>
    <w:rsid w:val="000546A2"/>
    <w:rsid w:val="00054B13"/>
    <w:rsid w:val="000554B5"/>
    <w:rsid w:val="00055CDA"/>
    <w:rsid w:val="00056446"/>
    <w:rsid w:val="00057825"/>
    <w:rsid w:val="0006003C"/>
    <w:rsid w:val="00060992"/>
    <w:rsid w:val="000610C6"/>
    <w:rsid w:val="00061223"/>
    <w:rsid w:val="000618F2"/>
    <w:rsid w:val="00062033"/>
    <w:rsid w:val="00063B31"/>
    <w:rsid w:val="00063C07"/>
    <w:rsid w:val="000654AC"/>
    <w:rsid w:val="00066C98"/>
    <w:rsid w:val="00070C67"/>
    <w:rsid w:val="00071340"/>
    <w:rsid w:val="0007327A"/>
    <w:rsid w:val="00076C55"/>
    <w:rsid w:val="000774E0"/>
    <w:rsid w:val="0008016A"/>
    <w:rsid w:val="00080D6F"/>
    <w:rsid w:val="00082872"/>
    <w:rsid w:val="00082BA9"/>
    <w:rsid w:val="000838C7"/>
    <w:rsid w:val="00087AE1"/>
    <w:rsid w:val="0009118C"/>
    <w:rsid w:val="00091DE4"/>
    <w:rsid w:val="00093330"/>
    <w:rsid w:val="000933DA"/>
    <w:rsid w:val="00093ADC"/>
    <w:rsid w:val="000956D8"/>
    <w:rsid w:val="000970C5"/>
    <w:rsid w:val="000A4541"/>
    <w:rsid w:val="000A5A5D"/>
    <w:rsid w:val="000A66BD"/>
    <w:rsid w:val="000A6AF1"/>
    <w:rsid w:val="000A7A93"/>
    <w:rsid w:val="000B0671"/>
    <w:rsid w:val="000B0F79"/>
    <w:rsid w:val="000B64E5"/>
    <w:rsid w:val="000B680D"/>
    <w:rsid w:val="000B73A4"/>
    <w:rsid w:val="000C0554"/>
    <w:rsid w:val="000C2B9D"/>
    <w:rsid w:val="000C5E08"/>
    <w:rsid w:val="000C652A"/>
    <w:rsid w:val="000C7326"/>
    <w:rsid w:val="000C7B39"/>
    <w:rsid w:val="000D1F3B"/>
    <w:rsid w:val="000D290D"/>
    <w:rsid w:val="000D4CCE"/>
    <w:rsid w:val="000E1AE3"/>
    <w:rsid w:val="000E2177"/>
    <w:rsid w:val="000E24A3"/>
    <w:rsid w:val="000E2E78"/>
    <w:rsid w:val="000E35F0"/>
    <w:rsid w:val="000E3B4B"/>
    <w:rsid w:val="000E3D25"/>
    <w:rsid w:val="000E5146"/>
    <w:rsid w:val="000E7486"/>
    <w:rsid w:val="000F1CFE"/>
    <w:rsid w:val="000F1DBB"/>
    <w:rsid w:val="000F3177"/>
    <w:rsid w:val="000F323E"/>
    <w:rsid w:val="000F473F"/>
    <w:rsid w:val="000F70DE"/>
    <w:rsid w:val="000F7226"/>
    <w:rsid w:val="00100639"/>
    <w:rsid w:val="00100E10"/>
    <w:rsid w:val="00101D1E"/>
    <w:rsid w:val="001037A3"/>
    <w:rsid w:val="00104D14"/>
    <w:rsid w:val="001050D1"/>
    <w:rsid w:val="00106084"/>
    <w:rsid w:val="00106699"/>
    <w:rsid w:val="00106BB5"/>
    <w:rsid w:val="00107532"/>
    <w:rsid w:val="001076AC"/>
    <w:rsid w:val="00112B4A"/>
    <w:rsid w:val="00113ED3"/>
    <w:rsid w:val="00115285"/>
    <w:rsid w:val="00116229"/>
    <w:rsid w:val="0011735B"/>
    <w:rsid w:val="00117FD1"/>
    <w:rsid w:val="00121081"/>
    <w:rsid w:val="00124A22"/>
    <w:rsid w:val="001266BE"/>
    <w:rsid w:val="00130DC5"/>
    <w:rsid w:val="0013221E"/>
    <w:rsid w:val="00134499"/>
    <w:rsid w:val="00135FE8"/>
    <w:rsid w:val="00140440"/>
    <w:rsid w:val="00141FDD"/>
    <w:rsid w:val="00143A15"/>
    <w:rsid w:val="00143B82"/>
    <w:rsid w:val="00143D2D"/>
    <w:rsid w:val="001462A5"/>
    <w:rsid w:val="001462E9"/>
    <w:rsid w:val="00146F86"/>
    <w:rsid w:val="001475A9"/>
    <w:rsid w:val="00147C60"/>
    <w:rsid w:val="00147C84"/>
    <w:rsid w:val="001501DF"/>
    <w:rsid w:val="00150730"/>
    <w:rsid w:val="001532AF"/>
    <w:rsid w:val="001546E1"/>
    <w:rsid w:val="00156748"/>
    <w:rsid w:val="00160EED"/>
    <w:rsid w:val="00162B1A"/>
    <w:rsid w:val="00162E2A"/>
    <w:rsid w:val="00164C56"/>
    <w:rsid w:val="00165407"/>
    <w:rsid w:val="00165511"/>
    <w:rsid w:val="00165D9C"/>
    <w:rsid w:val="00170E2B"/>
    <w:rsid w:val="0017283E"/>
    <w:rsid w:val="00173F03"/>
    <w:rsid w:val="00174DE7"/>
    <w:rsid w:val="00176AD4"/>
    <w:rsid w:val="001772D6"/>
    <w:rsid w:val="001832BA"/>
    <w:rsid w:val="00184904"/>
    <w:rsid w:val="00184FB9"/>
    <w:rsid w:val="00185942"/>
    <w:rsid w:val="001903C6"/>
    <w:rsid w:val="00192BA0"/>
    <w:rsid w:val="001951BB"/>
    <w:rsid w:val="00197649"/>
    <w:rsid w:val="00197B8E"/>
    <w:rsid w:val="001A15EA"/>
    <w:rsid w:val="001A4164"/>
    <w:rsid w:val="001A56F8"/>
    <w:rsid w:val="001A590F"/>
    <w:rsid w:val="001A686D"/>
    <w:rsid w:val="001A7D7E"/>
    <w:rsid w:val="001B040B"/>
    <w:rsid w:val="001B07FA"/>
    <w:rsid w:val="001B2098"/>
    <w:rsid w:val="001B588E"/>
    <w:rsid w:val="001B6DFD"/>
    <w:rsid w:val="001B74BF"/>
    <w:rsid w:val="001B76DE"/>
    <w:rsid w:val="001C0484"/>
    <w:rsid w:val="001C11AB"/>
    <w:rsid w:val="001C21AB"/>
    <w:rsid w:val="001C27FB"/>
    <w:rsid w:val="001C3C79"/>
    <w:rsid w:val="001C42B3"/>
    <w:rsid w:val="001C4DA4"/>
    <w:rsid w:val="001C5B23"/>
    <w:rsid w:val="001D071E"/>
    <w:rsid w:val="001D3473"/>
    <w:rsid w:val="001D42E0"/>
    <w:rsid w:val="001D5903"/>
    <w:rsid w:val="001D654C"/>
    <w:rsid w:val="001D7245"/>
    <w:rsid w:val="001E016C"/>
    <w:rsid w:val="001E2482"/>
    <w:rsid w:val="001E3131"/>
    <w:rsid w:val="001E5D49"/>
    <w:rsid w:val="001F1562"/>
    <w:rsid w:val="001F2EA8"/>
    <w:rsid w:val="001F5186"/>
    <w:rsid w:val="001F61B3"/>
    <w:rsid w:val="001F6F48"/>
    <w:rsid w:val="002001F4"/>
    <w:rsid w:val="002004DD"/>
    <w:rsid w:val="0020083C"/>
    <w:rsid w:val="00201B7B"/>
    <w:rsid w:val="00202640"/>
    <w:rsid w:val="0020490A"/>
    <w:rsid w:val="00204BFE"/>
    <w:rsid w:val="00205A22"/>
    <w:rsid w:val="00205DCD"/>
    <w:rsid w:val="00206DB8"/>
    <w:rsid w:val="00206F1D"/>
    <w:rsid w:val="00207E2C"/>
    <w:rsid w:val="00211A97"/>
    <w:rsid w:val="00211B79"/>
    <w:rsid w:val="0021329F"/>
    <w:rsid w:val="00217C41"/>
    <w:rsid w:val="00220895"/>
    <w:rsid w:val="0022161E"/>
    <w:rsid w:val="002276FD"/>
    <w:rsid w:val="0023211E"/>
    <w:rsid w:val="00232386"/>
    <w:rsid w:val="002345CC"/>
    <w:rsid w:val="00234DE2"/>
    <w:rsid w:val="00236191"/>
    <w:rsid w:val="0023657F"/>
    <w:rsid w:val="0023712E"/>
    <w:rsid w:val="002410A2"/>
    <w:rsid w:val="00241A41"/>
    <w:rsid w:val="002429BB"/>
    <w:rsid w:val="00244EAC"/>
    <w:rsid w:val="002500F8"/>
    <w:rsid w:val="00250ED7"/>
    <w:rsid w:val="0025103B"/>
    <w:rsid w:val="00251F38"/>
    <w:rsid w:val="00253143"/>
    <w:rsid w:val="002552C9"/>
    <w:rsid w:val="0025775C"/>
    <w:rsid w:val="00261F58"/>
    <w:rsid w:val="002645BE"/>
    <w:rsid w:val="00267015"/>
    <w:rsid w:val="00270406"/>
    <w:rsid w:val="002705CF"/>
    <w:rsid w:val="002706AB"/>
    <w:rsid w:val="00275647"/>
    <w:rsid w:val="0027768C"/>
    <w:rsid w:val="00280C1B"/>
    <w:rsid w:val="00283208"/>
    <w:rsid w:val="00283E88"/>
    <w:rsid w:val="00284027"/>
    <w:rsid w:val="00284F05"/>
    <w:rsid w:val="00285B40"/>
    <w:rsid w:val="00285EF2"/>
    <w:rsid w:val="002909D7"/>
    <w:rsid w:val="002928A5"/>
    <w:rsid w:val="00292ECB"/>
    <w:rsid w:val="00293977"/>
    <w:rsid w:val="002942EE"/>
    <w:rsid w:val="0029514F"/>
    <w:rsid w:val="00296669"/>
    <w:rsid w:val="00296D35"/>
    <w:rsid w:val="00297D77"/>
    <w:rsid w:val="002A0CFB"/>
    <w:rsid w:val="002A2004"/>
    <w:rsid w:val="002A28B5"/>
    <w:rsid w:val="002A2DCC"/>
    <w:rsid w:val="002A3128"/>
    <w:rsid w:val="002A4F92"/>
    <w:rsid w:val="002A6822"/>
    <w:rsid w:val="002A6B25"/>
    <w:rsid w:val="002A6CAB"/>
    <w:rsid w:val="002A7DEF"/>
    <w:rsid w:val="002B0EEC"/>
    <w:rsid w:val="002B1334"/>
    <w:rsid w:val="002B3F52"/>
    <w:rsid w:val="002B5D2D"/>
    <w:rsid w:val="002C120F"/>
    <w:rsid w:val="002C14EA"/>
    <w:rsid w:val="002C2E4E"/>
    <w:rsid w:val="002C52DE"/>
    <w:rsid w:val="002C5AD9"/>
    <w:rsid w:val="002C723D"/>
    <w:rsid w:val="002C7C30"/>
    <w:rsid w:val="002D038B"/>
    <w:rsid w:val="002D2624"/>
    <w:rsid w:val="002D2721"/>
    <w:rsid w:val="002D2C37"/>
    <w:rsid w:val="002D5611"/>
    <w:rsid w:val="002D6003"/>
    <w:rsid w:val="002D6AB6"/>
    <w:rsid w:val="002E02CA"/>
    <w:rsid w:val="002E12FC"/>
    <w:rsid w:val="002E2888"/>
    <w:rsid w:val="002E3883"/>
    <w:rsid w:val="002E3D94"/>
    <w:rsid w:val="002E3FB3"/>
    <w:rsid w:val="002E4779"/>
    <w:rsid w:val="002E53DF"/>
    <w:rsid w:val="002E6E34"/>
    <w:rsid w:val="002F0DE4"/>
    <w:rsid w:val="002F156A"/>
    <w:rsid w:val="002F17B6"/>
    <w:rsid w:val="002F3901"/>
    <w:rsid w:val="002F43B2"/>
    <w:rsid w:val="002F4EC2"/>
    <w:rsid w:val="002F7069"/>
    <w:rsid w:val="00300260"/>
    <w:rsid w:val="00300267"/>
    <w:rsid w:val="00300668"/>
    <w:rsid w:val="00301077"/>
    <w:rsid w:val="003015B9"/>
    <w:rsid w:val="00302B70"/>
    <w:rsid w:val="003030C5"/>
    <w:rsid w:val="00303575"/>
    <w:rsid w:val="003040D1"/>
    <w:rsid w:val="00304AFB"/>
    <w:rsid w:val="00306012"/>
    <w:rsid w:val="003066BA"/>
    <w:rsid w:val="00306AFA"/>
    <w:rsid w:val="00307203"/>
    <w:rsid w:val="00311950"/>
    <w:rsid w:val="00314B4F"/>
    <w:rsid w:val="0031535D"/>
    <w:rsid w:val="00316DE5"/>
    <w:rsid w:val="00317076"/>
    <w:rsid w:val="00317246"/>
    <w:rsid w:val="00322732"/>
    <w:rsid w:val="00323D1B"/>
    <w:rsid w:val="00324755"/>
    <w:rsid w:val="00324B02"/>
    <w:rsid w:val="0032559B"/>
    <w:rsid w:val="00325896"/>
    <w:rsid w:val="00326DEC"/>
    <w:rsid w:val="003277EB"/>
    <w:rsid w:val="00327EDF"/>
    <w:rsid w:val="00330F11"/>
    <w:rsid w:val="003316E2"/>
    <w:rsid w:val="00331B5F"/>
    <w:rsid w:val="00333321"/>
    <w:rsid w:val="003334FB"/>
    <w:rsid w:val="00333729"/>
    <w:rsid w:val="00334B79"/>
    <w:rsid w:val="003375B5"/>
    <w:rsid w:val="00341336"/>
    <w:rsid w:val="0034190A"/>
    <w:rsid w:val="00343831"/>
    <w:rsid w:val="00345A86"/>
    <w:rsid w:val="00346579"/>
    <w:rsid w:val="00350CC5"/>
    <w:rsid w:val="0035241B"/>
    <w:rsid w:val="00353085"/>
    <w:rsid w:val="0035368C"/>
    <w:rsid w:val="00361201"/>
    <w:rsid w:val="003613C2"/>
    <w:rsid w:val="003643F7"/>
    <w:rsid w:val="003659BB"/>
    <w:rsid w:val="00367036"/>
    <w:rsid w:val="00367C24"/>
    <w:rsid w:val="00370B85"/>
    <w:rsid w:val="00372EFB"/>
    <w:rsid w:val="00373818"/>
    <w:rsid w:val="00374797"/>
    <w:rsid w:val="003747F6"/>
    <w:rsid w:val="00374902"/>
    <w:rsid w:val="00377833"/>
    <w:rsid w:val="00377B4D"/>
    <w:rsid w:val="00380337"/>
    <w:rsid w:val="00381B8D"/>
    <w:rsid w:val="00381F31"/>
    <w:rsid w:val="00386192"/>
    <w:rsid w:val="00387B93"/>
    <w:rsid w:val="00392A0A"/>
    <w:rsid w:val="003938EB"/>
    <w:rsid w:val="00393945"/>
    <w:rsid w:val="00393AAF"/>
    <w:rsid w:val="00393BC3"/>
    <w:rsid w:val="003942E6"/>
    <w:rsid w:val="003951F0"/>
    <w:rsid w:val="00397179"/>
    <w:rsid w:val="00397D73"/>
    <w:rsid w:val="003A0AB8"/>
    <w:rsid w:val="003A245D"/>
    <w:rsid w:val="003A3C60"/>
    <w:rsid w:val="003A4490"/>
    <w:rsid w:val="003A58D5"/>
    <w:rsid w:val="003A5E7B"/>
    <w:rsid w:val="003A642C"/>
    <w:rsid w:val="003B0D14"/>
    <w:rsid w:val="003B2532"/>
    <w:rsid w:val="003B303E"/>
    <w:rsid w:val="003B5F51"/>
    <w:rsid w:val="003B7670"/>
    <w:rsid w:val="003B77B9"/>
    <w:rsid w:val="003B7EA7"/>
    <w:rsid w:val="003B7F09"/>
    <w:rsid w:val="003C0517"/>
    <w:rsid w:val="003C1702"/>
    <w:rsid w:val="003C1B7C"/>
    <w:rsid w:val="003C729D"/>
    <w:rsid w:val="003C752A"/>
    <w:rsid w:val="003D2E09"/>
    <w:rsid w:val="003D3CF2"/>
    <w:rsid w:val="003D3DD8"/>
    <w:rsid w:val="003D4A3E"/>
    <w:rsid w:val="003D4A44"/>
    <w:rsid w:val="003D4DD0"/>
    <w:rsid w:val="003D6E7F"/>
    <w:rsid w:val="003E084F"/>
    <w:rsid w:val="003E1059"/>
    <w:rsid w:val="003E16AB"/>
    <w:rsid w:val="003E24E6"/>
    <w:rsid w:val="003E7AC7"/>
    <w:rsid w:val="003E7CC9"/>
    <w:rsid w:val="003F125E"/>
    <w:rsid w:val="003F3ECE"/>
    <w:rsid w:val="003F5DCA"/>
    <w:rsid w:val="003F6C97"/>
    <w:rsid w:val="003F6FB0"/>
    <w:rsid w:val="003F780A"/>
    <w:rsid w:val="00401B7E"/>
    <w:rsid w:val="00402595"/>
    <w:rsid w:val="00403094"/>
    <w:rsid w:val="004033EC"/>
    <w:rsid w:val="00405E60"/>
    <w:rsid w:val="00411B37"/>
    <w:rsid w:val="00411C26"/>
    <w:rsid w:val="00413A13"/>
    <w:rsid w:val="00414671"/>
    <w:rsid w:val="004177EF"/>
    <w:rsid w:val="0042073B"/>
    <w:rsid w:val="00421095"/>
    <w:rsid w:val="004228F4"/>
    <w:rsid w:val="00422E38"/>
    <w:rsid w:val="004231D0"/>
    <w:rsid w:val="00423C20"/>
    <w:rsid w:val="00426B1B"/>
    <w:rsid w:val="004325EF"/>
    <w:rsid w:val="00432676"/>
    <w:rsid w:val="00432D15"/>
    <w:rsid w:val="0043382C"/>
    <w:rsid w:val="00435D26"/>
    <w:rsid w:val="00437559"/>
    <w:rsid w:val="00440B83"/>
    <w:rsid w:val="00442179"/>
    <w:rsid w:val="004425C7"/>
    <w:rsid w:val="00442AAC"/>
    <w:rsid w:val="00444FA6"/>
    <w:rsid w:val="00444FEF"/>
    <w:rsid w:val="004452D2"/>
    <w:rsid w:val="00446B5E"/>
    <w:rsid w:val="0045076A"/>
    <w:rsid w:val="00453B7D"/>
    <w:rsid w:val="004568F7"/>
    <w:rsid w:val="00457594"/>
    <w:rsid w:val="00457C60"/>
    <w:rsid w:val="0046165C"/>
    <w:rsid w:val="004625EC"/>
    <w:rsid w:val="00464105"/>
    <w:rsid w:val="00470B7C"/>
    <w:rsid w:val="0047406E"/>
    <w:rsid w:val="00477574"/>
    <w:rsid w:val="00477A0D"/>
    <w:rsid w:val="004837D1"/>
    <w:rsid w:val="00484C4B"/>
    <w:rsid w:val="0048705F"/>
    <w:rsid w:val="00490232"/>
    <w:rsid w:val="0049312F"/>
    <w:rsid w:val="004933B5"/>
    <w:rsid w:val="004A06DC"/>
    <w:rsid w:val="004A0E63"/>
    <w:rsid w:val="004A20AB"/>
    <w:rsid w:val="004A2E01"/>
    <w:rsid w:val="004A51D2"/>
    <w:rsid w:val="004A5218"/>
    <w:rsid w:val="004A59BB"/>
    <w:rsid w:val="004A5B5C"/>
    <w:rsid w:val="004A654E"/>
    <w:rsid w:val="004A660C"/>
    <w:rsid w:val="004A7C51"/>
    <w:rsid w:val="004B3ACD"/>
    <w:rsid w:val="004B3F3E"/>
    <w:rsid w:val="004B58BF"/>
    <w:rsid w:val="004B695D"/>
    <w:rsid w:val="004C0167"/>
    <w:rsid w:val="004C0DC0"/>
    <w:rsid w:val="004C118A"/>
    <w:rsid w:val="004C11AE"/>
    <w:rsid w:val="004C1CA8"/>
    <w:rsid w:val="004C2309"/>
    <w:rsid w:val="004C6459"/>
    <w:rsid w:val="004D3B2B"/>
    <w:rsid w:val="004D3DFA"/>
    <w:rsid w:val="004D7991"/>
    <w:rsid w:val="004E2F50"/>
    <w:rsid w:val="004E486C"/>
    <w:rsid w:val="004E68EF"/>
    <w:rsid w:val="004E6B7D"/>
    <w:rsid w:val="004F04B3"/>
    <w:rsid w:val="004F1925"/>
    <w:rsid w:val="004F364E"/>
    <w:rsid w:val="004F48C9"/>
    <w:rsid w:val="004F7B5F"/>
    <w:rsid w:val="0050012E"/>
    <w:rsid w:val="0050105B"/>
    <w:rsid w:val="00502CEE"/>
    <w:rsid w:val="00503BE9"/>
    <w:rsid w:val="00504D02"/>
    <w:rsid w:val="00505652"/>
    <w:rsid w:val="0051036D"/>
    <w:rsid w:val="00510D1A"/>
    <w:rsid w:val="00510ECD"/>
    <w:rsid w:val="00511E2B"/>
    <w:rsid w:val="00517D82"/>
    <w:rsid w:val="00521FF8"/>
    <w:rsid w:val="005272A5"/>
    <w:rsid w:val="00527FB8"/>
    <w:rsid w:val="00530A08"/>
    <w:rsid w:val="00530CBF"/>
    <w:rsid w:val="00531690"/>
    <w:rsid w:val="00534416"/>
    <w:rsid w:val="005346EA"/>
    <w:rsid w:val="00534F2F"/>
    <w:rsid w:val="00537511"/>
    <w:rsid w:val="00541BF5"/>
    <w:rsid w:val="00544444"/>
    <w:rsid w:val="00545A3C"/>
    <w:rsid w:val="00550390"/>
    <w:rsid w:val="00550E7C"/>
    <w:rsid w:val="00550EF8"/>
    <w:rsid w:val="005528FE"/>
    <w:rsid w:val="00553258"/>
    <w:rsid w:val="0055338A"/>
    <w:rsid w:val="0055516F"/>
    <w:rsid w:val="00555BED"/>
    <w:rsid w:val="005563C0"/>
    <w:rsid w:val="00556D4B"/>
    <w:rsid w:val="00556E20"/>
    <w:rsid w:val="005605E4"/>
    <w:rsid w:val="0056093E"/>
    <w:rsid w:val="00561BFB"/>
    <w:rsid w:val="0056597C"/>
    <w:rsid w:val="00567F64"/>
    <w:rsid w:val="005708B1"/>
    <w:rsid w:val="005708FF"/>
    <w:rsid w:val="00570D7D"/>
    <w:rsid w:val="005719CF"/>
    <w:rsid w:val="005729E1"/>
    <w:rsid w:val="00573812"/>
    <w:rsid w:val="005743A1"/>
    <w:rsid w:val="00574931"/>
    <w:rsid w:val="005803EE"/>
    <w:rsid w:val="00581282"/>
    <w:rsid w:val="0058255B"/>
    <w:rsid w:val="005856CC"/>
    <w:rsid w:val="00586D8A"/>
    <w:rsid w:val="00587AE9"/>
    <w:rsid w:val="00590D5E"/>
    <w:rsid w:val="005941FA"/>
    <w:rsid w:val="00596E43"/>
    <w:rsid w:val="005A0DD4"/>
    <w:rsid w:val="005A20C2"/>
    <w:rsid w:val="005A4824"/>
    <w:rsid w:val="005A5117"/>
    <w:rsid w:val="005A7E01"/>
    <w:rsid w:val="005B03AF"/>
    <w:rsid w:val="005B161E"/>
    <w:rsid w:val="005B200C"/>
    <w:rsid w:val="005B2065"/>
    <w:rsid w:val="005B2542"/>
    <w:rsid w:val="005B41D4"/>
    <w:rsid w:val="005B495E"/>
    <w:rsid w:val="005B4B2E"/>
    <w:rsid w:val="005B50C8"/>
    <w:rsid w:val="005B53C4"/>
    <w:rsid w:val="005C1380"/>
    <w:rsid w:val="005C15D7"/>
    <w:rsid w:val="005C217D"/>
    <w:rsid w:val="005C27BF"/>
    <w:rsid w:val="005C32AA"/>
    <w:rsid w:val="005C3DA2"/>
    <w:rsid w:val="005C56F1"/>
    <w:rsid w:val="005D2458"/>
    <w:rsid w:val="005D24E1"/>
    <w:rsid w:val="005D4B4D"/>
    <w:rsid w:val="005D5A20"/>
    <w:rsid w:val="005D5CD6"/>
    <w:rsid w:val="005D66F7"/>
    <w:rsid w:val="005D6C5C"/>
    <w:rsid w:val="005E10AC"/>
    <w:rsid w:val="005E17D1"/>
    <w:rsid w:val="005E251A"/>
    <w:rsid w:val="005E2B45"/>
    <w:rsid w:val="005E3F2F"/>
    <w:rsid w:val="005E49BD"/>
    <w:rsid w:val="005F0245"/>
    <w:rsid w:val="005F2D00"/>
    <w:rsid w:val="005F330E"/>
    <w:rsid w:val="005F4434"/>
    <w:rsid w:val="005F4BAF"/>
    <w:rsid w:val="005F665A"/>
    <w:rsid w:val="005F7672"/>
    <w:rsid w:val="006004CA"/>
    <w:rsid w:val="0060098F"/>
    <w:rsid w:val="00601DFC"/>
    <w:rsid w:val="006059BE"/>
    <w:rsid w:val="00606503"/>
    <w:rsid w:val="006124FC"/>
    <w:rsid w:val="0061344A"/>
    <w:rsid w:val="0061614B"/>
    <w:rsid w:val="00617DFF"/>
    <w:rsid w:val="00617E50"/>
    <w:rsid w:val="00620367"/>
    <w:rsid w:val="00624F98"/>
    <w:rsid w:val="0062578A"/>
    <w:rsid w:val="006270EE"/>
    <w:rsid w:val="00630812"/>
    <w:rsid w:val="00631412"/>
    <w:rsid w:val="00632CDC"/>
    <w:rsid w:val="00636BBA"/>
    <w:rsid w:val="006373A2"/>
    <w:rsid w:val="00641209"/>
    <w:rsid w:val="00643E3B"/>
    <w:rsid w:val="006448B3"/>
    <w:rsid w:val="00644B79"/>
    <w:rsid w:val="0064549B"/>
    <w:rsid w:val="00645FE4"/>
    <w:rsid w:val="00646727"/>
    <w:rsid w:val="006503DB"/>
    <w:rsid w:val="006504C9"/>
    <w:rsid w:val="006524A3"/>
    <w:rsid w:val="00654018"/>
    <w:rsid w:val="006560F0"/>
    <w:rsid w:val="00657D8D"/>
    <w:rsid w:val="00660FB3"/>
    <w:rsid w:val="0066237D"/>
    <w:rsid w:val="006637A0"/>
    <w:rsid w:val="00664FF6"/>
    <w:rsid w:val="00666F52"/>
    <w:rsid w:val="006704F3"/>
    <w:rsid w:val="00671F39"/>
    <w:rsid w:val="006758CB"/>
    <w:rsid w:val="00675BFB"/>
    <w:rsid w:val="0067647D"/>
    <w:rsid w:val="00676990"/>
    <w:rsid w:val="00676A82"/>
    <w:rsid w:val="00676C50"/>
    <w:rsid w:val="00676FC2"/>
    <w:rsid w:val="00677E69"/>
    <w:rsid w:val="00677FA6"/>
    <w:rsid w:val="006839C2"/>
    <w:rsid w:val="00683E6B"/>
    <w:rsid w:val="00684C36"/>
    <w:rsid w:val="00685DE7"/>
    <w:rsid w:val="00686E6D"/>
    <w:rsid w:val="006874DC"/>
    <w:rsid w:val="00687BEB"/>
    <w:rsid w:val="00687ED7"/>
    <w:rsid w:val="006901B2"/>
    <w:rsid w:val="006906B9"/>
    <w:rsid w:val="00691682"/>
    <w:rsid w:val="00691F97"/>
    <w:rsid w:val="0069598A"/>
    <w:rsid w:val="006961E0"/>
    <w:rsid w:val="0069635F"/>
    <w:rsid w:val="00696CBC"/>
    <w:rsid w:val="006A0147"/>
    <w:rsid w:val="006A1ECE"/>
    <w:rsid w:val="006A234A"/>
    <w:rsid w:val="006A32E1"/>
    <w:rsid w:val="006A3E4D"/>
    <w:rsid w:val="006A50B8"/>
    <w:rsid w:val="006A52D6"/>
    <w:rsid w:val="006A75AB"/>
    <w:rsid w:val="006A796C"/>
    <w:rsid w:val="006B2BDB"/>
    <w:rsid w:val="006B48AD"/>
    <w:rsid w:val="006B699A"/>
    <w:rsid w:val="006B73F5"/>
    <w:rsid w:val="006B7827"/>
    <w:rsid w:val="006C311B"/>
    <w:rsid w:val="006C52BA"/>
    <w:rsid w:val="006C5BC2"/>
    <w:rsid w:val="006C7F15"/>
    <w:rsid w:val="006D17B4"/>
    <w:rsid w:val="006D25FE"/>
    <w:rsid w:val="006D36D4"/>
    <w:rsid w:val="006D5A0C"/>
    <w:rsid w:val="006D5A13"/>
    <w:rsid w:val="006D620C"/>
    <w:rsid w:val="006D6315"/>
    <w:rsid w:val="006D64E6"/>
    <w:rsid w:val="006E2DE7"/>
    <w:rsid w:val="006E4624"/>
    <w:rsid w:val="006E4F49"/>
    <w:rsid w:val="006E6967"/>
    <w:rsid w:val="006E70FE"/>
    <w:rsid w:val="006F22F4"/>
    <w:rsid w:val="006F39BB"/>
    <w:rsid w:val="006F3B8F"/>
    <w:rsid w:val="006F46D6"/>
    <w:rsid w:val="006F4D7B"/>
    <w:rsid w:val="006F73E1"/>
    <w:rsid w:val="007009F6"/>
    <w:rsid w:val="007021A4"/>
    <w:rsid w:val="007035A3"/>
    <w:rsid w:val="00703C6F"/>
    <w:rsid w:val="00704042"/>
    <w:rsid w:val="0070415C"/>
    <w:rsid w:val="00705157"/>
    <w:rsid w:val="00705B72"/>
    <w:rsid w:val="007109A8"/>
    <w:rsid w:val="007113E1"/>
    <w:rsid w:val="0071333B"/>
    <w:rsid w:val="007134F9"/>
    <w:rsid w:val="0071481D"/>
    <w:rsid w:val="00715215"/>
    <w:rsid w:val="007163DB"/>
    <w:rsid w:val="00723C49"/>
    <w:rsid w:val="00724DFF"/>
    <w:rsid w:val="00725D9A"/>
    <w:rsid w:val="00726375"/>
    <w:rsid w:val="00730479"/>
    <w:rsid w:val="00730504"/>
    <w:rsid w:val="00730594"/>
    <w:rsid w:val="00733CAF"/>
    <w:rsid w:val="0073439F"/>
    <w:rsid w:val="00735353"/>
    <w:rsid w:val="0074018C"/>
    <w:rsid w:val="0074197E"/>
    <w:rsid w:val="0074367F"/>
    <w:rsid w:val="00744587"/>
    <w:rsid w:val="00744861"/>
    <w:rsid w:val="00745B82"/>
    <w:rsid w:val="00747552"/>
    <w:rsid w:val="00747E7C"/>
    <w:rsid w:val="00750228"/>
    <w:rsid w:val="0075030D"/>
    <w:rsid w:val="007511C3"/>
    <w:rsid w:val="0075202B"/>
    <w:rsid w:val="007523DA"/>
    <w:rsid w:val="00752E33"/>
    <w:rsid w:val="0075348B"/>
    <w:rsid w:val="00754CA0"/>
    <w:rsid w:val="00755869"/>
    <w:rsid w:val="00755F0F"/>
    <w:rsid w:val="00756C8C"/>
    <w:rsid w:val="007611F7"/>
    <w:rsid w:val="00764103"/>
    <w:rsid w:val="00766259"/>
    <w:rsid w:val="007666E5"/>
    <w:rsid w:val="00766883"/>
    <w:rsid w:val="007679C5"/>
    <w:rsid w:val="00767A03"/>
    <w:rsid w:val="0077081A"/>
    <w:rsid w:val="00772F02"/>
    <w:rsid w:val="007730BE"/>
    <w:rsid w:val="00773A03"/>
    <w:rsid w:val="0077460D"/>
    <w:rsid w:val="00774D78"/>
    <w:rsid w:val="00776C0B"/>
    <w:rsid w:val="00776E8C"/>
    <w:rsid w:val="0078318C"/>
    <w:rsid w:val="00784453"/>
    <w:rsid w:val="007847B2"/>
    <w:rsid w:val="00784A08"/>
    <w:rsid w:val="007863E0"/>
    <w:rsid w:val="00791014"/>
    <w:rsid w:val="007916F7"/>
    <w:rsid w:val="00791F5D"/>
    <w:rsid w:val="0079201A"/>
    <w:rsid w:val="007967FE"/>
    <w:rsid w:val="00796B36"/>
    <w:rsid w:val="0079754B"/>
    <w:rsid w:val="007A0D2E"/>
    <w:rsid w:val="007A31F3"/>
    <w:rsid w:val="007A3937"/>
    <w:rsid w:val="007A42F0"/>
    <w:rsid w:val="007A4715"/>
    <w:rsid w:val="007A58B1"/>
    <w:rsid w:val="007A6820"/>
    <w:rsid w:val="007B0E81"/>
    <w:rsid w:val="007B21B5"/>
    <w:rsid w:val="007B306F"/>
    <w:rsid w:val="007B3701"/>
    <w:rsid w:val="007B623D"/>
    <w:rsid w:val="007B75E5"/>
    <w:rsid w:val="007B7D26"/>
    <w:rsid w:val="007C0AFB"/>
    <w:rsid w:val="007C2ADD"/>
    <w:rsid w:val="007C58AD"/>
    <w:rsid w:val="007C6E74"/>
    <w:rsid w:val="007C78A9"/>
    <w:rsid w:val="007D0D22"/>
    <w:rsid w:val="007D11A4"/>
    <w:rsid w:val="007D1F4A"/>
    <w:rsid w:val="007D2098"/>
    <w:rsid w:val="007D243C"/>
    <w:rsid w:val="007D2E5B"/>
    <w:rsid w:val="007D3FC8"/>
    <w:rsid w:val="007D4A3E"/>
    <w:rsid w:val="007D546A"/>
    <w:rsid w:val="007D6B98"/>
    <w:rsid w:val="007E0ABF"/>
    <w:rsid w:val="007E4179"/>
    <w:rsid w:val="007E42DC"/>
    <w:rsid w:val="007E7C79"/>
    <w:rsid w:val="007F0072"/>
    <w:rsid w:val="007F1285"/>
    <w:rsid w:val="007F199D"/>
    <w:rsid w:val="007F2104"/>
    <w:rsid w:val="007F33C0"/>
    <w:rsid w:val="007F3F9F"/>
    <w:rsid w:val="007F6C7C"/>
    <w:rsid w:val="007F74E7"/>
    <w:rsid w:val="00802439"/>
    <w:rsid w:val="008035C9"/>
    <w:rsid w:val="00804F58"/>
    <w:rsid w:val="00807694"/>
    <w:rsid w:val="00811D11"/>
    <w:rsid w:val="00812EC8"/>
    <w:rsid w:val="00814381"/>
    <w:rsid w:val="0081547E"/>
    <w:rsid w:val="00816959"/>
    <w:rsid w:val="008178BE"/>
    <w:rsid w:val="00817A39"/>
    <w:rsid w:val="00820FDD"/>
    <w:rsid w:val="00822A05"/>
    <w:rsid w:val="00822E78"/>
    <w:rsid w:val="008236A2"/>
    <w:rsid w:val="0082370F"/>
    <w:rsid w:val="0082502A"/>
    <w:rsid w:val="00825A32"/>
    <w:rsid w:val="00827103"/>
    <w:rsid w:val="00830653"/>
    <w:rsid w:val="008317B8"/>
    <w:rsid w:val="00832149"/>
    <w:rsid w:val="008335CA"/>
    <w:rsid w:val="00833C54"/>
    <w:rsid w:val="00834140"/>
    <w:rsid w:val="00834908"/>
    <w:rsid w:val="00835B1D"/>
    <w:rsid w:val="00835FB7"/>
    <w:rsid w:val="0084250E"/>
    <w:rsid w:val="0084272B"/>
    <w:rsid w:val="0084542B"/>
    <w:rsid w:val="008502C9"/>
    <w:rsid w:val="00851856"/>
    <w:rsid w:val="00853BAB"/>
    <w:rsid w:val="00853F89"/>
    <w:rsid w:val="008559A8"/>
    <w:rsid w:val="0085656F"/>
    <w:rsid w:val="00860DB5"/>
    <w:rsid w:val="00860EF9"/>
    <w:rsid w:val="00861A07"/>
    <w:rsid w:val="008626EA"/>
    <w:rsid w:val="00862AFD"/>
    <w:rsid w:val="00863782"/>
    <w:rsid w:val="00864E76"/>
    <w:rsid w:val="00867527"/>
    <w:rsid w:val="00867ECC"/>
    <w:rsid w:val="008702C3"/>
    <w:rsid w:val="0087193B"/>
    <w:rsid w:val="00875B13"/>
    <w:rsid w:val="00875C2A"/>
    <w:rsid w:val="00876426"/>
    <w:rsid w:val="00876E25"/>
    <w:rsid w:val="008823B7"/>
    <w:rsid w:val="0088421D"/>
    <w:rsid w:val="008908AF"/>
    <w:rsid w:val="00894878"/>
    <w:rsid w:val="00895232"/>
    <w:rsid w:val="00895A81"/>
    <w:rsid w:val="00895F15"/>
    <w:rsid w:val="00896BF8"/>
    <w:rsid w:val="008A0F6D"/>
    <w:rsid w:val="008A12AF"/>
    <w:rsid w:val="008A1403"/>
    <w:rsid w:val="008A1612"/>
    <w:rsid w:val="008A1E2B"/>
    <w:rsid w:val="008A258D"/>
    <w:rsid w:val="008A2D5A"/>
    <w:rsid w:val="008A2F1A"/>
    <w:rsid w:val="008A330E"/>
    <w:rsid w:val="008A5123"/>
    <w:rsid w:val="008A7B8F"/>
    <w:rsid w:val="008B2682"/>
    <w:rsid w:val="008B3191"/>
    <w:rsid w:val="008B3268"/>
    <w:rsid w:val="008B4188"/>
    <w:rsid w:val="008B45D4"/>
    <w:rsid w:val="008B64AC"/>
    <w:rsid w:val="008B6F1A"/>
    <w:rsid w:val="008C0D37"/>
    <w:rsid w:val="008C1D7A"/>
    <w:rsid w:val="008C2166"/>
    <w:rsid w:val="008C2EC1"/>
    <w:rsid w:val="008C4F50"/>
    <w:rsid w:val="008C60EF"/>
    <w:rsid w:val="008C7432"/>
    <w:rsid w:val="008D08CF"/>
    <w:rsid w:val="008D0B8D"/>
    <w:rsid w:val="008D0FCC"/>
    <w:rsid w:val="008D36DC"/>
    <w:rsid w:val="008D5CB6"/>
    <w:rsid w:val="008D66E4"/>
    <w:rsid w:val="008D7D50"/>
    <w:rsid w:val="008D7F92"/>
    <w:rsid w:val="008E056E"/>
    <w:rsid w:val="008E5CB6"/>
    <w:rsid w:val="008E61B6"/>
    <w:rsid w:val="008E729C"/>
    <w:rsid w:val="008F55D9"/>
    <w:rsid w:val="008F5C7F"/>
    <w:rsid w:val="008F5E78"/>
    <w:rsid w:val="008F6516"/>
    <w:rsid w:val="008F7F10"/>
    <w:rsid w:val="00901B9E"/>
    <w:rsid w:val="00902BC5"/>
    <w:rsid w:val="00904636"/>
    <w:rsid w:val="0090663D"/>
    <w:rsid w:val="00911213"/>
    <w:rsid w:val="00912209"/>
    <w:rsid w:val="009129E3"/>
    <w:rsid w:val="00915540"/>
    <w:rsid w:val="00915D72"/>
    <w:rsid w:val="00916580"/>
    <w:rsid w:val="00917AAF"/>
    <w:rsid w:val="0092189B"/>
    <w:rsid w:val="00921DFD"/>
    <w:rsid w:val="00921FF6"/>
    <w:rsid w:val="009246DE"/>
    <w:rsid w:val="00924C9E"/>
    <w:rsid w:val="00924EAD"/>
    <w:rsid w:val="0092646A"/>
    <w:rsid w:val="00926ACD"/>
    <w:rsid w:val="00927CC0"/>
    <w:rsid w:val="00941227"/>
    <w:rsid w:val="009417D0"/>
    <w:rsid w:val="0094186E"/>
    <w:rsid w:val="009440F2"/>
    <w:rsid w:val="00944DB7"/>
    <w:rsid w:val="00947607"/>
    <w:rsid w:val="00947F0B"/>
    <w:rsid w:val="0095157D"/>
    <w:rsid w:val="00952569"/>
    <w:rsid w:val="00952BDF"/>
    <w:rsid w:val="0095453C"/>
    <w:rsid w:val="00955C8E"/>
    <w:rsid w:val="00955E36"/>
    <w:rsid w:val="00956111"/>
    <w:rsid w:val="00956217"/>
    <w:rsid w:val="009600C2"/>
    <w:rsid w:val="00960539"/>
    <w:rsid w:val="00961CA2"/>
    <w:rsid w:val="009624D3"/>
    <w:rsid w:val="00963CD5"/>
    <w:rsid w:val="00964708"/>
    <w:rsid w:val="009654D7"/>
    <w:rsid w:val="00966E7E"/>
    <w:rsid w:val="0097101B"/>
    <w:rsid w:val="00972807"/>
    <w:rsid w:val="00973270"/>
    <w:rsid w:val="00973BB7"/>
    <w:rsid w:val="009744DA"/>
    <w:rsid w:val="009749D2"/>
    <w:rsid w:val="00974A99"/>
    <w:rsid w:val="00975190"/>
    <w:rsid w:val="0097546D"/>
    <w:rsid w:val="00975B00"/>
    <w:rsid w:val="00975C9B"/>
    <w:rsid w:val="00976A9A"/>
    <w:rsid w:val="009770B5"/>
    <w:rsid w:val="009779A4"/>
    <w:rsid w:val="009814D6"/>
    <w:rsid w:val="00981805"/>
    <w:rsid w:val="0098274A"/>
    <w:rsid w:val="0098322B"/>
    <w:rsid w:val="00983B67"/>
    <w:rsid w:val="009875F0"/>
    <w:rsid w:val="00990D3E"/>
    <w:rsid w:val="00991D6E"/>
    <w:rsid w:val="00993131"/>
    <w:rsid w:val="009939A6"/>
    <w:rsid w:val="00996241"/>
    <w:rsid w:val="00996244"/>
    <w:rsid w:val="00997C51"/>
    <w:rsid w:val="009A056A"/>
    <w:rsid w:val="009A2C61"/>
    <w:rsid w:val="009A32E7"/>
    <w:rsid w:val="009A410E"/>
    <w:rsid w:val="009A4EF8"/>
    <w:rsid w:val="009A53D2"/>
    <w:rsid w:val="009A59A5"/>
    <w:rsid w:val="009A79B3"/>
    <w:rsid w:val="009A7CC2"/>
    <w:rsid w:val="009B0663"/>
    <w:rsid w:val="009B3775"/>
    <w:rsid w:val="009B59D8"/>
    <w:rsid w:val="009C0038"/>
    <w:rsid w:val="009C04F6"/>
    <w:rsid w:val="009C2019"/>
    <w:rsid w:val="009C343D"/>
    <w:rsid w:val="009D07BC"/>
    <w:rsid w:val="009D4002"/>
    <w:rsid w:val="009D46C7"/>
    <w:rsid w:val="009D6A2E"/>
    <w:rsid w:val="009E1C72"/>
    <w:rsid w:val="009E1EF2"/>
    <w:rsid w:val="009E3942"/>
    <w:rsid w:val="009E45C5"/>
    <w:rsid w:val="009E50A6"/>
    <w:rsid w:val="009E6115"/>
    <w:rsid w:val="009E638E"/>
    <w:rsid w:val="009E67C3"/>
    <w:rsid w:val="009E686D"/>
    <w:rsid w:val="009E7BC1"/>
    <w:rsid w:val="009F1407"/>
    <w:rsid w:val="009F3847"/>
    <w:rsid w:val="009F413B"/>
    <w:rsid w:val="009F4645"/>
    <w:rsid w:val="009F6199"/>
    <w:rsid w:val="009F7BD9"/>
    <w:rsid w:val="009F7C0A"/>
    <w:rsid w:val="00A00AD4"/>
    <w:rsid w:val="00A0130D"/>
    <w:rsid w:val="00A03E3A"/>
    <w:rsid w:val="00A05445"/>
    <w:rsid w:val="00A0545A"/>
    <w:rsid w:val="00A05BF3"/>
    <w:rsid w:val="00A07453"/>
    <w:rsid w:val="00A076E0"/>
    <w:rsid w:val="00A07DDD"/>
    <w:rsid w:val="00A120B8"/>
    <w:rsid w:val="00A120EB"/>
    <w:rsid w:val="00A13FEB"/>
    <w:rsid w:val="00A14D79"/>
    <w:rsid w:val="00A15736"/>
    <w:rsid w:val="00A16F05"/>
    <w:rsid w:val="00A1717E"/>
    <w:rsid w:val="00A17EC6"/>
    <w:rsid w:val="00A21A9D"/>
    <w:rsid w:val="00A225CB"/>
    <w:rsid w:val="00A235D2"/>
    <w:rsid w:val="00A243EF"/>
    <w:rsid w:val="00A25366"/>
    <w:rsid w:val="00A25600"/>
    <w:rsid w:val="00A26B35"/>
    <w:rsid w:val="00A2792B"/>
    <w:rsid w:val="00A27D65"/>
    <w:rsid w:val="00A33134"/>
    <w:rsid w:val="00A348F7"/>
    <w:rsid w:val="00A34F5D"/>
    <w:rsid w:val="00A40C40"/>
    <w:rsid w:val="00A4168A"/>
    <w:rsid w:val="00A4197B"/>
    <w:rsid w:val="00A45AA4"/>
    <w:rsid w:val="00A45D2F"/>
    <w:rsid w:val="00A5158F"/>
    <w:rsid w:val="00A520CC"/>
    <w:rsid w:val="00A54149"/>
    <w:rsid w:val="00A54461"/>
    <w:rsid w:val="00A54478"/>
    <w:rsid w:val="00A56DD7"/>
    <w:rsid w:val="00A571E3"/>
    <w:rsid w:val="00A6136F"/>
    <w:rsid w:val="00A61383"/>
    <w:rsid w:val="00A615F9"/>
    <w:rsid w:val="00A6373D"/>
    <w:rsid w:val="00A63802"/>
    <w:rsid w:val="00A639C4"/>
    <w:rsid w:val="00A63FCD"/>
    <w:rsid w:val="00A6762D"/>
    <w:rsid w:val="00A70EA7"/>
    <w:rsid w:val="00A7166E"/>
    <w:rsid w:val="00A7195D"/>
    <w:rsid w:val="00A7267E"/>
    <w:rsid w:val="00A73A7E"/>
    <w:rsid w:val="00A76F5A"/>
    <w:rsid w:val="00A775B2"/>
    <w:rsid w:val="00A80F7B"/>
    <w:rsid w:val="00A81DA9"/>
    <w:rsid w:val="00A83C83"/>
    <w:rsid w:val="00A8626E"/>
    <w:rsid w:val="00A86A2A"/>
    <w:rsid w:val="00A86CCC"/>
    <w:rsid w:val="00A8738B"/>
    <w:rsid w:val="00A877B4"/>
    <w:rsid w:val="00A90528"/>
    <w:rsid w:val="00A908B6"/>
    <w:rsid w:val="00A94192"/>
    <w:rsid w:val="00A943AF"/>
    <w:rsid w:val="00A94952"/>
    <w:rsid w:val="00A94980"/>
    <w:rsid w:val="00A96223"/>
    <w:rsid w:val="00A964FA"/>
    <w:rsid w:val="00A969FE"/>
    <w:rsid w:val="00A97324"/>
    <w:rsid w:val="00A97393"/>
    <w:rsid w:val="00A97400"/>
    <w:rsid w:val="00A974D0"/>
    <w:rsid w:val="00AA0863"/>
    <w:rsid w:val="00AA254B"/>
    <w:rsid w:val="00AA4D40"/>
    <w:rsid w:val="00AA4E0D"/>
    <w:rsid w:val="00AA5E82"/>
    <w:rsid w:val="00AA6287"/>
    <w:rsid w:val="00AB08DC"/>
    <w:rsid w:val="00AB0E7C"/>
    <w:rsid w:val="00AB162B"/>
    <w:rsid w:val="00AB5346"/>
    <w:rsid w:val="00AB561A"/>
    <w:rsid w:val="00AB729C"/>
    <w:rsid w:val="00AC0C25"/>
    <w:rsid w:val="00AC323F"/>
    <w:rsid w:val="00AC3C2E"/>
    <w:rsid w:val="00AC70E8"/>
    <w:rsid w:val="00AD00DA"/>
    <w:rsid w:val="00AD037F"/>
    <w:rsid w:val="00AD044E"/>
    <w:rsid w:val="00AD402F"/>
    <w:rsid w:val="00AD4B6D"/>
    <w:rsid w:val="00AD517F"/>
    <w:rsid w:val="00AD75E3"/>
    <w:rsid w:val="00AE0159"/>
    <w:rsid w:val="00AE23DE"/>
    <w:rsid w:val="00AE385C"/>
    <w:rsid w:val="00AE39E4"/>
    <w:rsid w:val="00AE4055"/>
    <w:rsid w:val="00AE6523"/>
    <w:rsid w:val="00AE6604"/>
    <w:rsid w:val="00AE7A9C"/>
    <w:rsid w:val="00AF1EC1"/>
    <w:rsid w:val="00AF37FC"/>
    <w:rsid w:val="00AF5DDA"/>
    <w:rsid w:val="00AF6834"/>
    <w:rsid w:val="00AF6890"/>
    <w:rsid w:val="00AF6ABF"/>
    <w:rsid w:val="00B01729"/>
    <w:rsid w:val="00B01861"/>
    <w:rsid w:val="00B0324C"/>
    <w:rsid w:val="00B0353D"/>
    <w:rsid w:val="00B03AD7"/>
    <w:rsid w:val="00B04608"/>
    <w:rsid w:val="00B050D8"/>
    <w:rsid w:val="00B055E0"/>
    <w:rsid w:val="00B05DB2"/>
    <w:rsid w:val="00B076E3"/>
    <w:rsid w:val="00B079F4"/>
    <w:rsid w:val="00B121B6"/>
    <w:rsid w:val="00B134CB"/>
    <w:rsid w:val="00B135ED"/>
    <w:rsid w:val="00B13AE7"/>
    <w:rsid w:val="00B140ED"/>
    <w:rsid w:val="00B145A6"/>
    <w:rsid w:val="00B170F8"/>
    <w:rsid w:val="00B22FEA"/>
    <w:rsid w:val="00B257BF"/>
    <w:rsid w:val="00B259C6"/>
    <w:rsid w:val="00B26654"/>
    <w:rsid w:val="00B31F2E"/>
    <w:rsid w:val="00B33C80"/>
    <w:rsid w:val="00B374F9"/>
    <w:rsid w:val="00B37EB6"/>
    <w:rsid w:val="00B4082B"/>
    <w:rsid w:val="00B40A57"/>
    <w:rsid w:val="00B40A94"/>
    <w:rsid w:val="00B4286F"/>
    <w:rsid w:val="00B44A3E"/>
    <w:rsid w:val="00B452B0"/>
    <w:rsid w:val="00B47584"/>
    <w:rsid w:val="00B5235B"/>
    <w:rsid w:val="00B5267D"/>
    <w:rsid w:val="00B53052"/>
    <w:rsid w:val="00B55DA1"/>
    <w:rsid w:val="00B55EF3"/>
    <w:rsid w:val="00B56B71"/>
    <w:rsid w:val="00B61E43"/>
    <w:rsid w:val="00B63E00"/>
    <w:rsid w:val="00B65146"/>
    <w:rsid w:val="00B66710"/>
    <w:rsid w:val="00B71D41"/>
    <w:rsid w:val="00B73AE4"/>
    <w:rsid w:val="00B7495E"/>
    <w:rsid w:val="00B759EF"/>
    <w:rsid w:val="00B81372"/>
    <w:rsid w:val="00B8195D"/>
    <w:rsid w:val="00B8362F"/>
    <w:rsid w:val="00B83A88"/>
    <w:rsid w:val="00B868CF"/>
    <w:rsid w:val="00B8698C"/>
    <w:rsid w:val="00B910F7"/>
    <w:rsid w:val="00B927B0"/>
    <w:rsid w:val="00B963D5"/>
    <w:rsid w:val="00B96D51"/>
    <w:rsid w:val="00BA13E4"/>
    <w:rsid w:val="00BA1866"/>
    <w:rsid w:val="00BA1D87"/>
    <w:rsid w:val="00BA1F77"/>
    <w:rsid w:val="00BA2276"/>
    <w:rsid w:val="00BA2480"/>
    <w:rsid w:val="00BA2AE2"/>
    <w:rsid w:val="00BA30D4"/>
    <w:rsid w:val="00BA439E"/>
    <w:rsid w:val="00BA73DC"/>
    <w:rsid w:val="00BB06FA"/>
    <w:rsid w:val="00BB1EBC"/>
    <w:rsid w:val="00BB29A0"/>
    <w:rsid w:val="00BB2B82"/>
    <w:rsid w:val="00BB3451"/>
    <w:rsid w:val="00BB4244"/>
    <w:rsid w:val="00BB4D3B"/>
    <w:rsid w:val="00BB5955"/>
    <w:rsid w:val="00BB6CB1"/>
    <w:rsid w:val="00BB73FA"/>
    <w:rsid w:val="00BB7991"/>
    <w:rsid w:val="00BB7D33"/>
    <w:rsid w:val="00BC1B51"/>
    <w:rsid w:val="00BC21A0"/>
    <w:rsid w:val="00BC7C27"/>
    <w:rsid w:val="00BD1D6A"/>
    <w:rsid w:val="00BD212E"/>
    <w:rsid w:val="00BD36B6"/>
    <w:rsid w:val="00BD43AF"/>
    <w:rsid w:val="00BD44D2"/>
    <w:rsid w:val="00BD5E8D"/>
    <w:rsid w:val="00BD5EA0"/>
    <w:rsid w:val="00BD6E4C"/>
    <w:rsid w:val="00BD79E8"/>
    <w:rsid w:val="00BE00F9"/>
    <w:rsid w:val="00BE0A9F"/>
    <w:rsid w:val="00BE11F2"/>
    <w:rsid w:val="00BE277F"/>
    <w:rsid w:val="00BE2E09"/>
    <w:rsid w:val="00BE350F"/>
    <w:rsid w:val="00BE3623"/>
    <w:rsid w:val="00BE3B27"/>
    <w:rsid w:val="00BE4E24"/>
    <w:rsid w:val="00BE4EB0"/>
    <w:rsid w:val="00BE523B"/>
    <w:rsid w:val="00BE6618"/>
    <w:rsid w:val="00BE70C7"/>
    <w:rsid w:val="00BF14EF"/>
    <w:rsid w:val="00BF26E7"/>
    <w:rsid w:val="00BF2D72"/>
    <w:rsid w:val="00BF364E"/>
    <w:rsid w:val="00BF3C68"/>
    <w:rsid w:val="00BF550D"/>
    <w:rsid w:val="00BF5BA6"/>
    <w:rsid w:val="00C00BA7"/>
    <w:rsid w:val="00C00C6F"/>
    <w:rsid w:val="00C0207E"/>
    <w:rsid w:val="00C06BF8"/>
    <w:rsid w:val="00C06E94"/>
    <w:rsid w:val="00C10864"/>
    <w:rsid w:val="00C12EF5"/>
    <w:rsid w:val="00C14C5B"/>
    <w:rsid w:val="00C16779"/>
    <w:rsid w:val="00C22E87"/>
    <w:rsid w:val="00C249A1"/>
    <w:rsid w:val="00C24A1D"/>
    <w:rsid w:val="00C25182"/>
    <w:rsid w:val="00C270BE"/>
    <w:rsid w:val="00C31B46"/>
    <w:rsid w:val="00C3224F"/>
    <w:rsid w:val="00C33C19"/>
    <w:rsid w:val="00C36422"/>
    <w:rsid w:val="00C3697B"/>
    <w:rsid w:val="00C3753D"/>
    <w:rsid w:val="00C37607"/>
    <w:rsid w:val="00C430CB"/>
    <w:rsid w:val="00C43725"/>
    <w:rsid w:val="00C43841"/>
    <w:rsid w:val="00C46E32"/>
    <w:rsid w:val="00C47BCE"/>
    <w:rsid w:val="00C50251"/>
    <w:rsid w:val="00C50F5F"/>
    <w:rsid w:val="00C51F48"/>
    <w:rsid w:val="00C550FF"/>
    <w:rsid w:val="00C55B92"/>
    <w:rsid w:val="00C55BA7"/>
    <w:rsid w:val="00C5727C"/>
    <w:rsid w:val="00C60545"/>
    <w:rsid w:val="00C60810"/>
    <w:rsid w:val="00C613E1"/>
    <w:rsid w:val="00C61762"/>
    <w:rsid w:val="00C63053"/>
    <w:rsid w:val="00C647CE"/>
    <w:rsid w:val="00C651D6"/>
    <w:rsid w:val="00C65655"/>
    <w:rsid w:val="00C66DAB"/>
    <w:rsid w:val="00C671A2"/>
    <w:rsid w:val="00C705C4"/>
    <w:rsid w:val="00C7069C"/>
    <w:rsid w:val="00C70C4B"/>
    <w:rsid w:val="00C71A1D"/>
    <w:rsid w:val="00C744D0"/>
    <w:rsid w:val="00C74D9B"/>
    <w:rsid w:val="00C7597A"/>
    <w:rsid w:val="00C80A8D"/>
    <w:rsid w:val="00C81B4F"/>
    <w:rsid w:val="00C84823"/>
    <w:rsid w:val="00C85209"/>
    <w:rsid w:val="00C90EB3"/>
    <w:rsid w:val="00C90F2F"/>
    <w:rsid w:val="00C92857"/>
    <w:rsid w:val="00C92D57"/>
    <w:rsid w:val="00C94980"/>
    <w:rsid w:val="00C95E6D"/>
    <w:rsid w:val="00C95F4E"/>
    <w:rsid w:val="00C96B3C"/>
    <w:rsid w:val="00C96F67"/>
    <w:rsid w:val="00C977D2"/>
    <w:rsid w:val="00CA051C"/>
    <w:rsid w:val="00CA0E58"/>
    <w:rsid w:val="00CA2217"/>
    <w:rsid w:val="00CA25F4"/>
    <w:rsid w:val="00CA2DCB"/>
    <w:rsid w:val="00CA50B9"/>
    <w:rsid w:val="00CA545C"/>
    <w:rsid w:val="00CA589B"/>
    <w:rsid w:val="00CA5BA4"/>
    <w:rsid w:val="00CA7F76"/>
    <w:rsid w:val="00CB0644"/>
    <w:rsid w:val="00CB2B03"/>
    <w:rsid w:val="00CB702C"/>
    <w:rsid w:val="00CC2010"/>
    <w:rsid w:val="00CC345F"/>
    <w:rsid w:val="00CC35A8"/>
    <w:rsid w:val="00CC3C77"/>
    <w:rsid w:val="00CC422B"/>
    <w:rsid w:val="00CC5566"/>
    <w:rsid w:val="00CC79D9"/>
    <w:rsid w:val="00CC7A81"/>
    <w:rsid w:val="00CD1A8E"/>
    <w:rsid w:val="00CD211B"/>
    <w:rsid w:val="00CD2AC7"/>
    <w:rsid w:val="00CD555F"/>
    <w:rsid w:val="00CD5A1F"/>
    <w:rsid w:val="00CD66C0"/>
    <w:rsid w:val="00CD6AB2"/>
    <w:rsid w:val="00CD6CFE"/>
    <w:rsid w:val="00CE01F7"/>
    <w:rsid w:val="00CE0411"/>
    <w:rsid w:val="00CE169E"/>
    <w:rsid w:val="00CE1916"/>
    <w:rsid w:val="00CE1946"/>
    <w:rsid w:val="00CE5CF5"/>
    <w:rsid w:val="00CE65BE"/>
    <w:rsid w:val="00CF01E9"/>
    <w:rsid w:val="00CF14CF"/>
    <w:rsid w:val="00CF4829"/>
    <w:rsid w:val="00CF51CC"/>
    <w:rsid w:val="00CF5819"/>
    <w:rsid w:val="00CF767F"/>
    <w:rsid w:val="00D00168"/>
    <w:rsid w:val="00D02985"/>
    <w:rsid w:val="00D031E5"/>
    <w:rsid w:val="00D04A82"/>
    <w:rsid w:val="00D05CF7"/>
    <w:rsid w:val="00D06DA9"/>
    <w:rsid w:val="00D11D3B"/>
    <w:rsid w:val="00D125D1"/>
    <w:rsid w:val="00D15042"/>
    <w:rsid w:val="00D150AA"/>
    <w:rsid w:val="00D15128"/>
    <w:rsid w:val="00D16F45"/>
    <w:rsid w:val="00D172D5"/>
    <w:rsid w:val="00D17432"/>
    <w:rsid w:val="00D2153F"/>
    <w:rsid w:val="00D22BB2"/>
    <w:rsid w:val="00D23ECC"/>
    <w:rsid w:val="00D247E8"/>
    <w:rsid w:val="00D248BA"/>
    <w:rsid w:val="00D24E59"/>
    <w:rsid w:val="00D2621F"/>
    <w:rsid w:val="00D27319"/>
    <w:rsid w:val="00D314EC"/>
    <w:rsid w:val="00D33B6F"/>
    <w:rsid w:val="00D33C6E"/>
    <w:rsid w:val="00D33CC3"/>
    <w:rsid w:val="00D34DE9"/>
    <w:rsid w:val="00D3699A"/>
    <w:rsid w:val="00D36ED3"/>
    <w:rsid w:val="00D371A7"/>
    <w:rsid w:val="00D4117E"/>
    <w:rsid w:val="00D43619"/>
    <w:rsid w:val="00D449C3"/>
    <w:rsid w:val="00D4632D"/>
    <w:rsid w:val="00D467DD"/>
    <w:rsid w:val="00D47328"/>
    <w:rsid w:val="00D47BD0"/>
    <w:rsid w:val="00D513E9"/>
    <w:rsid w:val="00D5152E"/>
    <w:rsid w:val="00D556E3"/>
    <w:rsid w:val="00D55AEC"/>
    <w:rsid w:val="00D563DE"/>
    <w:rsid w:val="00D56BFF"/>
    <w:rsid w:val="00D622AD"/>
    <w:rsid w:val="00D62EB1"/>
    <w:rsid w:val="00D64E52"/>
    <w:rsid w:val="00D64EBA"/>
    <w:rsid w:val="00D666A3"/>
    <w:rsid w:val="00D67C33"/>
    <w:rsid w:val="00D67F08"/>
    <w:rsid w:val="00D71007"/>
    <w:rsid w:val="00D7287E"/>
    <w:rsid w:val="00D73219"/>
    <w:rsid w:val="00D7335D"/>
    <w:rsid w:val="00D741AC"/>
    <w:rsid w:val="00D748F7"/>
    <w:rsid w:val="00D74C08"/>
    <w:rsid w:val="00D77AE9"/>
    <w:rsid w:val="00D82811"/>
    <w:rsid w:val="00D82859"/>
    <w:rsid w:val="00D8430D"/>
    <w:rsid w:val="00D85D2D"/>
    <w:rsid w:val="00D8700A"/>
    <w:rsid w:val="00D87DEC"/>
    <w:rsid w:val="00D90ABF"/>
    <w:rsid w:val="00D90F55"/>
    <w:rsid w:val="00D9118E"/>
    <w:rsid w:val="00D91677"/>
    <w:rsid w:val="00D918EF"/>
    <w:rsid w:val="00D91FBA"/>
    <w:rsid w:val="00D92180"/>
    <w:rsid w:val="00D9251A"/>
    <w:rsid w:val="00D92AB3"/>
    <w:rsid w:val="00D9396C"/>
    <w:rsid w:val="00D94680"/>
    <w:rsid w:val="00D9514F"/>
    <w:rsid w:val="00DA145F"/>
    <w:rsid w:val="00DA4032"/>
    <w:rsid w:val="00DA4492"/>
    <w:rsid w:val="00DB08B4"/>
    <w:rsid w:val="00DB3061"/>
    <w:rsid w:val="00DB45F4"/>
    <w:rsid w:val="00DB4C0D"/>
    <w:rsid w:val="00DB6E2D"/>
    <w:rsid w:val="00DC09A6"/>
    <w:rsid w:val="00DC1C84"/>
    <w:rsid w:val="00DC4AA4"/>
    <w:rsid w:val="00DC4B39"/>
    <w:rsid w:val="00DC558B"/>
    <w:rsid w:val="00DC5947"/>
    <w:rsid w:val="00DC60ED"/>
    <w:rsid w:val="00DD1064"/>
    <w:rsid w:val="00DD223C"/>
    <w:rsid w:val="00DD25A3"/>
    <w:rsid w:val="00DD5496"/>
    <w:rsid w:val="00DD5663"/>
    <w:rsid w:val="00DD6620"/>
    <w:rsid w:val="00DD776C"/>
    <w:rsid w:val="00DD7CB4"/>
    <w:rsid w:val="00DE1A14"/>
    <w:rsid w:val="00DE3E5D"/>
    <w:rsid w:val="00DE5515"/>
    <w:rsid w:val="00DF0934"/>
    <w:rsid w:val="00DF0C60"/>
    <w:rsid w:val="00DF1646"/>
    <w:rsid w:val="00DF364C"/>
    <w:rsid w:val="00DF3783"/>
    <w:rsid w:val="00DF4266"/>
    <w:rsid w:val="00DF4E58"/>
    <w:rsid w:val="00DF57CA"/>
    <w:rsid w:val="00E02F88"/>
    <w:rsid w:val="00E04956"/>
    <w:rsid w:val="00E05233"/>
    <w:rsid w:val="00E0666C"/>
    <w:rsid w:val="00E10A99"/>
    <w:rsid w:val="00E1247B"/>
    <w:rsid w:val="00E1311C"/>
    <w:rsid w:val="00E13771"/>
    <w:rsid w:val="00E1505C"/>
    <w:rsid w:val="00E15B2A"/>
    <w:rsid w:val="00E17D27"/>
    <w:rsid w:val="00E23D13"/>
    <w:rsid w:val="00E24DDC"/>
    <w:rsid w:val="00E25C8D"/>
    <w:rsid w:val="00E344BA"/>
    <w:rsid w:val="00E351AE"/>
    <w:rsid w:val="00E35FD7"/>
    <w:rsid w:val="00E36DE9"/>
    <w:rsid w:val="00E373D0"/>
    <w:rsid w:val="00E37813"/>
    <w:rsid w:val="00E3792F"/>
    <w:rsid w:val="00E404BD"/>
    <w:rsid w:val="00E4156B"/>
    <w:rsid w:val="00E41604"/>
    <w:rsid w:val="00E43B8C"/>
    <w:rsid w:val="00E44493"/>
    <w:rsid w:val="00E44A82"/>
    <w:rsid w:val="00E459B4"/>
    <w:rsid w:val="00E4710D"/>
    <w:rsid w:val="00E50D05"/>
    <w:rsid w:val="00E5121D"/>
    <w:rsid w:val="00E521AD"/>
    <w:rsid w:val="00E53534"/>
    <w:rsid w:val="00E5521E"/>
    <w:rsid w:val="00E55421"/>
    <w:rsid w:val="00E55495"/>
    <w:rsid w:val="00E56D38"/>
    <w:rsid w:val="00E6041B"/>
    <w:rsid w:val="00E613DB"/>
    <w:rsid w:val="00E621CA"/>
    <w:rsid w:val="00E6390A"/>
    <w:rsid w:val="00E6440E"/>
    <w:rsid w:val="00E64A58"/>
    <w:rsid w:val="00E65065"/>
    <w:rsid w:val="00E659EC"/>
    <w:rsid w:val="00E65B64"/>
    <w:rsid w:val="00E70A5C"/>
    <w:rsid w:val="00E71A5E"/>
    <w:rsid w:val="00E72E38"/>
    <w:rsid w:val="00E7389C"/>
    <w:rsid w:val="00E73E18"/>
    <w:rsid w:val="00E749C9"/>
    <w:rsid w:val="00E77EB9"/>
    <w:rsid w:val="00E81449"/>
    <w:rsid w:val="00E816D0"/>
    <w:rsid w:val="00E81866"/>
    <w:rsid w:val="00E82B37"/>
    <w:rsid w:val="00E8362A"/>
    <w:rsid w:val="00E83E53"/>
    <w:rsid w:val="00E84533"/>
    <w:rsid w:val="00E84721"/>
    <w:rsid w:val="00E84FBA"/>
    <w:rsid w:val="00E869D0"/>
    <w:rsid w:val="00E871BE"/>
    <w:rsid w:val="00E912DA"/>
    <w:rsid w:val="00E93215"/>
    <w:rsid w:val="00E948FB"/>
    <w:rsid w:val="00E9523F"/>
    <w:rsid w:val="00E9575D"/>
    <w:rsid w:val="00E95EA2"/>
    <w:rsid w:val="00EA078A"/>
    <w:rsid w:val="00EA0FB2"/>
    <w:rsid w:val="00EA37A9"/>
    <w:rsid w:val="00EA4A99"/>
    <w:rsid w:val="00EA4AF8"/>
    <w:rsid w:val="00EA4B46"/>
    <w:rsid w:val="00EA56F4"/>
    <w:rsid w:val="00EA6DA8"/>
    <w:rsid w:val="00EA6E20"/>
    <w:rsid w:val="00EB061D"/>
    <w:rsid w:val="00EB4842"/>
    <w:rsid w:val="00EB770B"/>
    <w:rsid w:val="00EC02CD"/>
    <w:rsid w:val="00EC0634"/>
    <w:rsid w:val="00EC0AAF"/>
    <w:rsid w:val="00EC0FB8"/>
    <w:rsid w:val="00EC145E"/>
    <w:rsid w:val="00EC2F4E"/>
    <w:rsid w:val="00EC37A3"/>
    <w:rsid w:val="00EC50B8"/>
    <w:rsid w:val="00EC62E5"/>
    <w:rsid w:val="00EC785F"/>
    <w:rsid w:val="00ED0714"/>
    <w:rsid w:val="00ED10B4"/>
    <w:rsid w:val="00ED19FD"/>
    <w:rsid w:val="00ED242D"/>
    <w:rsid w:val="00ED440F"/>
    <w:rsid w:val="00ED4E93"/>
    <w:rsid w:val="00ED5D9E"/>
    <w:rsid w:val="00EE0337"/>
    <w:rsid w:val="00EE2874"/>
    <w:rsid w:val="00EE34BA"/>
    <w:rsid w:val="00EE395E"/>
    <w:rsid w:val="00EE565F"/>
    <w:rsid w:val="00EE7127"/>
    <w:rsid w:val="00EF20D1"/>
    <w:rsid w:val="00EF34B4"/>
    <w:rsid w:val="00EF3551"/>
    <w:rsid w:val="00EF3676"/>
    <w:rsid w:val="00EF4B82"/>
    <w:rsid w:val="00EF4C27"/>
    <w:rsid w:val="00EF77FC"/>
    <w:rsid w:val="00EF7871"/>
    <w:rsid w:val="00EF79C5"/>
    <w:rsid w:val="00F00D0F"/>
    <w:rsid w:val="00F026FC"/>
    <w:rsid w:val="00F02FDF"/>
    <w:rsid w:val="00F03676"/>
    <w:rsid w:val="00F0695C"/>
    <w:rsid w:val="00F07436"/>
    <w:rsid w:val="00F0747B"/>
    <w:rsid w:val="00F07563"/>
    <w:rsid w:val="00F16F4C"/>
    <w:rsid w:val="00F2054F"/>
    <w:rsid w:val="00F205BC"/>
    <w:rsid w:val="00F21C65"/>
    <w:rsid w:val="00F222DF"/>
    <w:rsid w:val="00F23068"/>
    <w:rsid w:val="00F24508"/>
    <w:rsid w:val="00F25AB9"/>
    <w:rsid w:val="00F273AC"/>
    <w:rsid w:val="00F33383"/>
    <w:rsid w:val="00F34007"/>
    <w:rsid w:val="00F34B96"/>
    <w:rsid w:val="00F374A6"/>
    <w:rsid w:val="00F40434"/>
    <w:rsid w:val="00F42513"/>
    <w:rsid w:val="00F436D7"/>
    <w:rsid w:val="00F45E49"/>
    <w:rsid w:val="00F53977"/>
    <w:rsid w:val="00F53B66"/>
    <w:rsid w:val="00F563B9"/>
    <w:rsid w:val="00F57BD4"/>
    <w:rsid w:val="00F610C0"/>
    <w:rsid w:val="00F61B7D"/>
    <w:rsid w:val="00F67537"/>
    <w:rsid w:val="00F725C4"/>
    <w:rsid w:val="00F72D33"/>
    <w:rsid w:val="00F72DDC"/>
    <w:rsid w:val="00F73538"/>
    <w:rsid w:val="00F766D9"/>
    <w:rsid w:val="00F76E5E"/>
    <w:rsid w:val="00F80B6C"/>
    <w:rsid w:val="00F82A6D"/>
    <w:rsid w:val="00F843EA"/>
    <w:rsid w:val="00F872A5"/>
    <w:rsid w:val="00F90631"/>
    <w:rsid w:val="00F9195B"/>
    <w:rsid w:val="00F9282B"/>
    <w:rsid w:val="00F940BB"/>
    <w:rsid w:val="00F964CE"/>
    <w:rsid w:val="00F96556"/>
    <w:rsid w:val="00F97D2E"/>
    <w:rsid w:val="00FA34C1"/>
    <w:rsid w:val="00FA4010"/>
    <w:rsid w:val="00FA580F"/>
    <w:rsid w:val="00FA6599"/>
    <w:rsid w:val="00FB138E"/>
    <w:rsid w:val="00FB185F"/>
    <w:rsid w:val="00FB21C3"/>
    <w:rsid w:val="00FB2B10"/>
    <w:rsid w:val="00FB40D4"/>
    <w:rsid w:val="00FB6F1F"/>
    <w:rsid w:val="00FB6FB2"/>
    <w:rsid w:val="00FB7B71"/>
    <w:rsid w:val="00FC0142"/>
    <w:rsid w:val="00FC094B"/>
    <w:rsid w:val="00FC139C"/>
    <w:rsid w:val="00FC21C6"/>
    <w:rsid w:val="00FC4369"/>
    <w:rsid w:val="00FC49FF"/>
    <w:rsid w:val="00FC75A4"/>
    <w:rsid w:val="00FC7CCD"/>
    <w:rsid w:val="00FD0CAC"/>
    <w:rsid w:val="00FD1C57"/>
    <w:rsid w:val="00FD384C"/>
    <w:rsid w:val="00FD607D"/>
    <w:rsid w:val="00FD6A15"/>
    <w:rsid w:val="00FE0B57"/>
    <w:rsid w:val="00FE28C6"/>
    <w:rsid w:val="00FE4DA9"/>
    <w:rsid w:val="00FE6C6A"/>
    <w:rsid w:val="00FE7462"/>
    <w:rsid w:val="00FF275E"/>
    <w:rsid w:val="00FF5A4A"/>
    <w:rsid w:val="00FF6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CEE0"/>
  <w15:chartTrackingRefBased/>
  <w15:docId w15:val="{1635A7DE-C6BC-4700-B909-1A5C2881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E5B"/>
    <w:pPr>
      <w:ind w:left="720"/>
      <w:contextualSpacing/>
    </w:pPr>
  </w:style>
  <w:style w:type="paragraph" w:styleId="Header">
    <w:name w:val="header"/>
    <w:basedOn w:val="Normal"/>
    <w:link w:val="HeaderChar"/>
    <w:uiPriority w:val="99"/>
    <w:unhideWhenUsed/>
    <w:rsid w:val="00783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8C"/>
  </w:style>
  <w:style w:type="paragraph" w:styleId="Footer">
    <w:name w:val="footer"/>
    <w:basedOn w:val="Normal"/>
    <w:link w:val="FooterChar"/>
    <w:uiPriority w:val="99"/>
    <w:unhideWhenUsed/>
    <w:rsid w:val="00783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8C"/>
  </w:style>
  <w:style w:type="paragraph" w:styleId="Revision">
    <w:name w:val="Revision"/>
    <w:hidden/>
    <w:uiPriority w:val="99"/>
    <w:semiHidden/>
    <w:rsid w:val="00071340"/>
    <w:pPr>
      <w:spacing w:after="0" w:line="240" w:lineRule="auto"/>
    </w:pPr>
  </w:style>
  <w:style w:type="character" w:styleId="CommentReference">
    <w:name w:val="annotation reference"/>
    <w:basedOn w:val="DefaultParagraphFont"/>
    <w:uiPriority w:val="99"/>
    <w:semiHidden/>
    <w:unhideWhenUsed/>
    <w:rsid w:val="00D748F7"/>
    <w:rPr>
      <w:sz w:val="16"/>
      <w:szCs w:val="16"/>
    </w:rPr>
  </w:style>
  <w:style w:type="paragraph" w:styleId="CommentText">
    <w:name w:val="annotation text"/>
    <w:basedOn w:val="Normal"/>
    <w:link w:val="CommentTextChar"/>
    <w:uiPriority w:val="99"/>
    <w:unhideWhenUsed/>
    <w:rsid w:val="00D748F7"/>
    <w:pPr>
      <w:spacing w:line="240" w:lineRule="auto"/>
    </w:pPr>
    <w:rPr>
      <w:sz w:val="20"/>
      <w:szCs w:val="20"/>
    </w:rPr>
  </w:style>
  <w:style w:type="character" w:customStyle="1" w:styleId="CommentTextChar">
    <w:name w:val="Comment Text Char"/>
    <w:basedOn w:val="DefaultParagraphFont"/>
    <w:link w:val="CommentText"/>
    <w:uiPriority w:val="99"/>
    <w:rsid w:val="00D748F7"/>
    <w:rPr>
      <w:sz w:val="20"/>
      <w:szCs w:val="20"/>
    </w:rPr>
  </w:style>
  <w:style w:type="paragraph" w:styleId="CommentSubject">
    <w:name w:val="annotation subject"/>
    <w:basedOn w:val="CommentText"/>
    <w:next w:val="CommentText"/>
    <w:link w:val="CommentSubjectChar"/>
    <w:uiPriority w:val="99"/>
    <w:semiHidden/>
    <w:unhideWhenUsed/>
    <w:rsid w:val="00D748F7"/>
    <w:rPr>
      <w:b/>
      <w:bCs/>
    </w:rPr>
  </w:style>
  <w:style w:type="character" w:customStyle="1" w:styleId="CommentSubjectChar">
    <w:name w:val="Comment Subject Char"/>
    <w:basedOn w:val="CommentTextChar"/>
    <w:link w:val="CommentSubject"/>
    <w:uiPriority w:val="99"/>
    <w:semiHidden/>
    <w:rsid w:val="00D748F7"/>
    <w:rPr>
      <w:b/>
      <w:bCs/>
      <w:sz w:val="20"/>
      <w:szCs w:val="20"/>
    </w:rPr>
  </w:style>
  <w:style w:type="paragraph" w:styleId="FootnoteText">
    <w:name w:val="footnote text"/>
    <w:basedOn w:val="Normal"/>
    <w:link w:val="FootnoteTextChar"/>
    <w:uiPriority w:val="99"/>
    <w:unhideWhenUsed/>
    <w:rsid w:val="00FD6A15"/>
    <w:pPr>
      <w:spacing w:after="0" w:line="240" w:lineRule="auto"/>
    </w:pPr>
    <w:rPr>
      <w:sz w:val="20"/>
      <w:szCs w:val="20"/>
    </w:rPr>
  </w:style>
  <w:style w:type="character" w:customStyle="1" w:styleId="FootnoteTextChar">
    <w:name w:val="Footnote Text Char"/>
    <w:basedOn w:val="DefaultParagraphFont"/>
    <w:link w:val="FootnoteText"/>
    <w:uiPriority w:val="99"/>
    <w:rsid w:val="00FD6A15"/>
    <w:rPr>
      <w:sz w:val="20"/>
      <w:szCs w:val="20"/>
    </w:rPr>
  </w:style>
  <w:style w:type="character" w:styleId="FootnoteReference">
    <w:name w:val="footnote reference"/>
    <w:basedOn w:val="DefaultParagraphFont"/>
    <w:uiPriority w:val="99"/>
    <w:semiHidden/>
    <w:unhideWhenUsed/>
    <w:rsid w:val="00FD6A15"/>
    <w:rPr>
      <w:vertAlign w:val="superscript"/>
    </w:rPr>
  </w:style>
  <w:style w:type="character" w:styleId="Hyperlink">
    <w:name w:val="Hyperlink"/>
    <w:basedOn w:val="DefaultParagraphFont"/>
    <w:uiPriority w:val="99"/>
    <w:unhideWhenUsed/>
    <w:rsid w:val="00FD6A15"/>
    <w:rPr>
      <w:color w:val="0563C1" w:themeColor="hyperlink"/>
      <w:u w:val="single"/>
    </w:rPr>
  </w:style>
  <w:style w:type="character" w:styleId="UnresolvedMention">
    <w:name w:val="Unresolved Mention"/>
    <w:basedOn w:val="DefaultParagraphFont"/>
    <w:uiPriority w:val="99"/>
    <w:semiHidden/>
    <w:unhideWhenUsed/>
    <w:rsid w:val="00FD6A15"/>
    <w:rPr>
      <w:color w:val="605E5C"/>
      <w:shd w:val="clear" w:color="auto" w:fill="E1DFDD"/>
    </w:rPr>
  </w:style>
  <w:style w:type="paragraph" w:customStyle="1" w:styleId="legclearfix">
    <w:name w:val="legclearfix"/>
    <w:basedOn w:val="Normal"/>
    <w:rsid w:val="007A68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7A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llocation-of-electricity-network-charges-to-different-consumer-groups-in-selected-countr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fgem.gov.uk/sites/default/files/2021-07/Final%20report-%20Research%20into%20GB%20electricity%20prices%20for%20EnergyIntensive%20Industri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news/government-action-to-supercharge-competitiveness-in-key-british-industries-and-grow-econom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www.ofgem.gov.uk/publications/research-gb-electricity-prices-energy-intensive-industries" TargetMode="External"/><Relationship Id="rId1" Type="http://schemas.openxmlformats.org/officeDocument/2006/relationships/hyperlink" Target="https://www.gov.uk/government/publications/allocation-of-electricity-network-charges-to-different-consumer-groups-in-selected-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419EFB08951040A7F7E5A59035E04D" ma:contentTypeVersion="5" ma:contentTypeDescription="Create a new document." ma:contentTypeScope="" ma:versionID="75d0ef7f60e0992cfd6a54e69cc0e25c">
  <xsd:schema xmlns:xsd="http://www.w3.org/2001/XMLSchema" xmlns:xs="http://www.w3.org/2001/XMLSchema" xmlns:p="http://schemas.microsoft.com/office/2006/metadata/properties" xmlns:ns2="96c9852c-64e2-4411-bb5f-13601233feb5" targetNamespace="http://schemas.microsoft.com/office/2006/metadata/properties" ma:root="true" ma:fieldsID="c9b48e4f8056ced76e2f9da7fa0706c2" ns2:_="">
    <xsd:import namespace="96c9852c-64e2-4411-bb5f-13601233f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9852c-64e2-4411-bb5f-13601233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12AAF-1C4D-48DB-9531-EB563BBC3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77BA61-2A44-489B-A6BB-D9ED8F1EA7DC}">
  <ds:schemaRefs>
    <ds:schemaRef ds:uri="http://schemas.openxmlformats.org/officeDocument/2006/bibliography"/>
  </ds:schemaRefs>
</ds:datastoreItem>
</file>

<file path=customXml/itemProps3.xml><?xml version="1.0" encoding="utf-8"?>
<ds:datastoreItem xmlns:ds="http://schemas.openxmlformats.org/officeDocument/2006/customXml" ds:itemID="{9B94E716-550F-49D0-9648-4D90D77E4327}">
  <ds:schemaRefs>
    <ds:schemaRef ds:uri="http://schemas.microsoft.com/sharepoint/v3/contenttype/forms"/>
  </ds:schemaRefs>
</ds:datastoreItem>
</file>

<file path=customXml/itemProps4.xml><?xml version="1.0" encoding="utf-8"?>
<ds:datastoreItem xmlns:ds="http://schemas.openxmlformats.org/officeDocument/2006/customXml" ds:itemID="{D5988432-C1A7-47BF-99FA-F7DEBB79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9852c-64e2-4411-bb5f-13601233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Geveke</dc:creator>
  <cp:keywords/>
  <dc:description/>
  <cp:lastModifiedBy>Arjan Geveke</cp:lastModifiedBy>
  <cp:revision>5</cp:revision>
  <dcterms:created xsi:type="dcterms:W3CDTF">2023-08-15T10:04:00Z</dcterms:created>
  <dcterms:modified xsi:type="dcterms:W3CDTF">2023-08-15T10:12:00Z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0x010100A0419EFB08951040A7F7E5A59035E04D</vt:lpwstr>
  </property>
  <property fmtid="{D5CDD505-2E9C-101B-9397-08002B2CF9AE}" pid="3" name="Order">
    <vt:r8>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