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5C6" w14:textId="05C89576" w:rsidR="00A94952" w:rsidRPr="00442AAC" w:rsidRDefault="0092493B" w:rsidP="00E9523F">
      <w:pPr>
        <w:jc w:val="right"/>
        <w:rPr>
          <w:rFonts w:ascii="Arial" w:hAnsi="Arial" w:cs="Arial"/>
          <w:sz w:val="32"/>
          <w:szCs w:val="32"/>
        </w:rPr>
      </w:pPr>
      <w:r w:rsidRPr="0092493B">
        <w:rPr>
          <w:rFonts w:ascii="Arial" w:hAnsi="Arial" w:cs="Arial"/>
          <w:noProof/>
          <w:sz w:val="32"/>
          <w:szCs w:val="32"/>
        </w:rPr>
        <mc:AlternateContent>
          <mc:Choice Requires="wps">
            <w:drawing>
              <wp:anchor distT="45720" distB="45720" distL="114300" distR="114300" simplePos="0" relativeHeight="251663360" behindDoc="0" locked="0" layoutInCell="1" allowOverlap="1" wp14:anchorId="7B1A885C" wp14:editId="60423549">
                <wp:simplePos x="0" y="0"/>
                <wp:positionH relativeFrom="margin">
                  <wp:align>left</wp:align>
                </wp:positionH>
                <wp:positionV relativeFrom="paragraph">
                  <wp:posOffset>579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B816F4" w14:textId="68EBA7B3" w:rsidR="0092493B" w:rsidRDefault="0092493B" w:rsidP="004916C4">
                            <w:pPr>
                              <w:spacing w:after="0" w:line="240" w:lineRule="auto"/>
                            </w:pPr>
                            <w:r>
                              <w:t>Energy Intensive Users Group</w:t>
                            </w:r>
                          </w:p>
                          <w:p w14:paraId="540887EF" w14:textId="0AC4CCEE" w:rsidR="0092493B" w:rsidRDefault="00CC40A6" w:rsidP="004916C4">
                            <w:pPr>
                              <w:spacing w:after="0" w:line="240" w:lineRule="auto"/>
                            </w:pPr>
                            <w:r>
                              <w:t>Kings Buildings</w:t>
                            </w:r>
                          </w:p>
                          <w:p w14:paraId="1D6B9575" w14:textId="7CB7EAC3" w:rsidR="00CC40A6" w:rsidRDefault="00CC40A6" w:rsidP="004916C4">
                            <w:pPr>
                              <w:spacing w:after="0" w:line="240" w:lineRule="auto"/>
                            </w:pPr>
                            <w:r>
                              <w:t>Smith Square</w:t>
                            </w:r>
                          </w:p>
                          <w:p w14:paraId="093D3893" w14:textId="227A6D21" w:rsidR="00CC40A6" w:rsidRDefault="00CC40A6" w:rsidP="004916C4">
                            <w:pPr>
                              <w:spacing w:after="0" w:line="240" w:lineRule="auto"/>
                            </w:pPr>
                            <w:r>
                              <w:t>SW1P 3JJ London</w:t>
                            </w:r>
                          </w:p>
                          <w:p w14:paraId="4EBF6316" w14:textId="0019F81C" w:rsidR="00DB493A" w:rsidRDefault="008737BF" w:rsidP="004916C4">
                            <w:pPr>
                              <w:spacing w:after="0" w:line="240" w:lineRule="auto"/>
                            </w:pPr>
                            <w:r>
                              <w:t>07951</w:t>
                            </w:r>
                            <w:r w:rsidR="00DA461B">
                              <w:t xml:space="preserve"> 387 408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1A885C" id="_x0000_t202" coordsize="21600,21600" o:spt="202" path="m,l,21600r21600,l21600,xe">
                <v:stroke joinstyle="miter"/>
                <v:path gradientshapeok="t" o:connecttype="rect"/>
              </v:shapetype>
              <v:shape id="Text Box 2" o:spid="_x0000_s1026" type="#_x0000_t202" style="position:absolute;left:0;text-align:left;margin-left:0;margin-top:.0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" stroked="f">
                <v:textbox style="mso-fit-shape-to-text:t">
                  <w:txbxContent>
                    <w:p w14:paraId="7AB816F4" w14:textId="68EBA7B3" w:rsidR="0092493B" w:rsidRDefault="0092493B" w:rsidP="004916C4">
                      <w:pPr>
                        <w:spacing w:after="0" w:line="240" w:lineRule="auto"/>
                      </w:pPr>
                      <w:r>
                        <w:t>Energy Intensive Users Group</w:t>
                      </w:r>
                    </w:p>
                    <w:p w14:paraId="540887EF" w14:textId="0AC4CCEE" w:rsidR="0092493B" w:rsidRDefault="00CC40A6" w:rsidP="004916C4">
                      <w:pPr>
                        <w:spacing w:after="0" w:line="240" w:lineRule="auto"/>
                      </w:pPr>
                      <w:r>
                        <w:t>Kings Buildings</w:t>
                      </w:r>
                    </w:p>
                    <w:p w14:paraId="1D6B9575" w14:textId="7CB7EAC3" w:rsidR="00CC40A6" w:rsidRDefault="00CC40A6" w:rsidP="004916C4">
                      <w:pPr>
                        <w:spacing w:after="0" w:line="240" w:lineRule="auto"/>
                      </w:pPr>
                      <w:r>
                        <w:t>Smith Square</w:t>
                      </w:r>
                    </w:p>
                    <w:p w14:paraId="093D3893" w14:textId="227A6D21" w:rsidR="00CC40A6" w:rsidRDefault="00CC40A6" w:rsidP="004916C4">
                      <w:pPr>
                        <w:spacing w:after="0" w:line="240" w:lineRule="auto"/>
                      </w:pPr>
                      <w:r>
                        <w:t>SW1P 3JJ London</w:t>
                      </w:r>
                    </w:p>
                    <w:p w14:paraId="4EBF6316" w14:textId="0019F81C" w:rsidR="00DB493A" w:rsidRDefault="008737BF" w:rsidP="004916C4">
                      <w:pPr>
                        <w:spacing w:after="0" w:line="240" w:lineRule="auto"/>
                      </w:pPr>
                      <w:r>
                        <w:t>07951</w:t>
                      </w:r>
                      <w:r w:rsidR="00DA461B">
                        <w:t xml:space="preserve"> 387 408</w:t>
                      </w:r>
                    </w:p>
                  </w:txbxContent>
                </v:textbox>
                <w10:wrap type="square" anchorx="margin"/>
              </v:shape>
            </w:pict>
          </mc:Fallback>
        </mc:AlternateContent>
      </w:r>
      <w:r w:rsidR="009E686D"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37FCB3D0">
                <wp:simplePos x="0" y="0"/>
                <wp:positionH relativeFrom="column">
                  <wp:posOffset>3371850</wp:posOffset>
                </wp:positionH>
                <wp:positionV relativeFrom="paragraph">
                  <wp:posOffset>9525</wp:posOffset>
                </wp:positionV>
                <wp:extent cx="2320290" cy="85725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857250"/>
                        </a:xfrm>
                        <a:prstGeom prst="rect">
                          <a:avLst/>
                        </a:prstGeom>
                        <a:solidFill>
                          <a:srgbClr val="FFFFFF"/>
                        </a:solidFill>
                        <a:ln w="9525">
                          <a:noFill/>
                          <a:miter lim="800000"/>
                          <a:headEnd/>
                          <a:tailEnd/>
                        </a:ln>
                      </wps:spPr>
                      <wps:txbx>
                        <w:txbxContent>
                          <w:p w14:paraId="1A4E51AD" w14:textId="08CA6EEC" w:rsidR="009E686D" w:rsidRDefault="009E686D" w:rsidP="009E6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D373B" id="_x0000_t202" coordsize="21600,21600" o:spt="202" path="m,l,21600r21600,l21600,xe">
                <v:stroke joinstyle="miter"/>
                <v:path gradientshapeok="t" o:connecttype="rect"/>
              </v:shapetype>
              <v:shape id="_x0000_s1027" type="#_x0000_t202" style="position:absolute;left:0;text-align:left;margin-left:265.5pt;margin-top:.75pt;width:182.7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" stroked="f">
                <v:textbox>
                  <w:txbxContent>
                    <w:p w14:paraId="1A4E51AD" w14:textId="08CA6EEC" w:rsidR="009E686D" w:rsidRDefault="009E686D" w:rsidP="009E686D"/>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1889E057" w14:textId="6A73E77B" w:rsidR="00283E88" w:rsidRDefault="00283E88" w:rsidP="00156177">
      <w:pPr>
        <w:jc w:val="center"/>
        <w:rPr>
          <w:rFonts w:ascii="Arial" w:hAnsi="Arial" w:cs="Arial"/>
          <w:b/>
          <w:bCs/>
          <w:sz w:val="32"/>
          <w:szCs w:val="32"/>
        </w:rPr>
      </w:pPr>
      <w:r w:rsidRPr="009F7C0A">
        <w:rPr>
          <w:rFonts w:ascii="Arial" w:hAnsi="Arial" w:cs="Arial"/>
          <w:b/>
          <w:bCs/>
          <w:sz w:val="32"/>
          <w:szCs w:val="32"/>
        </w:rPr>
        <w:t xml:space="preserve">EIUG </w:t>
      </w:r>
      <w:r w:rsidR="008178BE">
        <w:rPr>
          <w:rFonts w:ascii="Arial" w:hAnsi="Arial" w:cs="Arial"/>
          <w:b/>
          <w:bCs/>
          <w:sz w:val="32"/>
          <w:szCs w:val="32"/>
        </w:rPr>
        <w:t>Response to</w:t>
      </w:r>
      <w:r w:rsidR="00B9051A">
        <w:rPr>
          <w:rFonts w:ascii="Arial" w:hAnsi="Arial" w:cs="Arial"/>
          <w:b/>
          <w:bCs/>
          <w:sz w:val="32"/>
          <w:szCs w:val="32"/>
        </w:rPr>
        <w:t xml:space="preserve"> </w:t>
      </w:r>
      <w:r w:rsidR="00156177">
        <w:rPr>
          <w:rFonts w:ascii="Arial" w:hAnsi="Arial" w:cs="Arial"/>
          <w:b/>
          <w:bCs/>
          <w:sz w:val="32"/>
          <w:szCs w:val="32"/>
        </w:rPr>
        <w:t xml:space="preserve">the </w:t>
      </w:r>
      <w:r w:rsidR="00B260DA">
        <w:rPr>
          <w:rFonts w:ascii="Arial" w:hAnsi="Arial" w:cs="Arial"/>
          <w:b/>
          <w:bCs/>
          <w:sz w:val="32"/>
          <w:szCs w:val="32"/>
        </w:rPr>
        <w:t xml:space="preserve">House of Lords </w:t>
      </w:r>
      <w:r w:rsidR="00B260DA" w:rsidRPr="00B260DA">
        <w:rPr>
          <w:rFonts w:ascii="Arial" w:hAnsi="Arial" w:cs="Arial"/>
          <w:b/>
          <w:bCs/>
          <w:sz w:val="32"/>
          <w:szCs w:val="32"/>
        </w:rPr>
        <w:t>Industry and Regulators Committee</w:t>
      </w:r>
      <w:r w:rsidR="00B260DA">
        <w:rPr>
          <w:rFonts w:ascii="Arial" w:hAnsi="Arial" w:cs="Arial"/>
          <w:b/>
          <w:bCs/>
          <w:sz w:val="32"/>
          <w:szCs w:val="32"/>
        </w:rPr>
        <w:t xml:space="preserve">’s Call for Evidence into </w:t>
      </w:r>
      <w:r w:rsidR="00B260DA" w:rsidRPr="00B260DA">
        <w:rPr>
          <w:rFonts w:ascii="Arial" w:hAnsi="Arial" w:cs="Arial"/>
          <w:b/>
          <w:bCs/>
          <w:sz w:val="32"/>
          <w:szCs w:val="32"/>
        </w:rPr>
        <w:t xml:space="preserve">The </w:t>
      </w:r>
      <w:r w:rsidR="00B260DA">
        <w:rPr>
          <w:rFonts w:ascii="Arial" w:hAnsi="Arial" w:cs="Arial"/>
          <w:b/>
          <w:bCs/>
          <w:sz w:val="32"/>
          <w:szCs w:val="32"/>
        </w:rPr>
        <w:t>E</w:t>
      </w:r>
      <w:r w:rsidR="00B260DA" w:rsidRPr="00B260DA">
        <w:rPr>
          <w:rFonts w:ascii="Arial" w:hAnsi="Arial" w:cs="Arial"/>
          <w:b/>
          <w:bCs/>
          <w:sz w:val="32"/>
          <w:szCs w:val="32"/>
        </w:rPr>
        <w:t xml:space="preserve">nergy </w:t>
      </w:r>
      <w:r w:rsidR="00B260DA">
        <w:rPr>
          <w:rFonts w:ascii="Arial" w:hAnsi="Arial" w:cs="Arial"/>
          <w:b/>
          <w:bCs/>
          <w:sz w:val="32"/>
          <w:szCs w:val="32"/>
        </w:rPr>
        <w:t>G</w:t>
      </w:r>
      <w:r w:rsidR="00B260DA" w:rsidRPr="00B260DA">
        <w:rPr>
          <w:rFonts w:ascii="Arial" w:hAnsi="Arial" w:cs="Arial"/>
          <w:b/>
          <w:bCs/>
          <w:sz w:val="32"/>
          <w:szCs w:val="32"/>
        </w:rPr>
        <w:t xml:space="preserve">rid and </w:t>
      </w:r>
      <w:r w:rsidR="00B260DA">
        <w:rPr>
          <w:rFonts w:ascii="Arial" w:hAnsi="Arial" w:cs="Arial"/>
          <w:b/>
          <w:bCs/>
          <w:sz w:val="32"/>
          <w:szCs w:val="32"/>
        </w:rPr>
        <w:t>G</w:t>
      </w:r>
      <w:r w:rsidR="00B260DA" w:rsidRPr="00B260DA">
        <w:rPr>
          <w:rFonts w:ascii="Arial" w:hAnsi="Arial" w:cs="Arial"/>
          <w:b/>
          <w:bCs/>
          <w:sz w:val="32"/>
          <w:szCs w:val="32"/>
        </w:rPr>
        <w:t xml:space="preserve">rid </w:t>
      </w:r>
      <w:r w:rsidR="00B260DA">
        <w:rPr>
          <w:rFonts w:ascii="Arial" w:hAnsi="Arial" w:cs="Arial"/>
          <w:b/>
          <w:bCs/>
          <w:sz w:val="32"/>
          <w:szCs w:val="32"/>
        </w:rPr>
        <w:t>C</w:t>
      </w:r>
      <w:r w:rsidR="00B260DA" w:rsidRPr="00B260DA">
        <w:rPr>
          <w:rFonts w:ascii="Arial" w:hAnsi="Arial" w:cs="Arial"/>
          <w:b/>
          <w:bCs/>
          <w:sz w:val="32"/>
          <w:szCs w:val="32"/>
        </w:rPr>
        <w:t>onnections</w:t>
      </w:r>
    </w:p>
    <w:p w14:paraId="03ACC401" w14:textId="77777777" w:rsidR="00BC1B51" w:rsidRDefault="00BC1B51">
      <w:pPr>
        <w:rPr>
          <w:rFonts w:ascii="Arial" w:hAnsi="Arial" w:cs="Arial"/>
          <w:b/>
          <w:bCs/>
          <w:sz w:val="24"/>
          <w:szCs w:val="24"/>
          <w:u w:val="single"/>
        </w:rPr>
      </w:pPr>
    </w:p>
    <w:p w14:paraId="4BB86A94" w14:textId="484E6CB2"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1552B33F" w:rsidR="00042DCB"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The Energy Intensive Users Group (EIUG) is an umbrella organisation that represents the interests of energy intensive industrial (EII</w:t>
      </w:r>
      <w:r w:rsidR="00834FC2">
        <w:rPr>
          <w:rFonts w:ascii="Arial" w:hAnsi="Arial" w:cs="Arial"/>
          <w:sz w:val="24"/>
          <w:szCs w:val="24"/>
        </w:rPr>
        <w:t>s</w:t>
      </w:r>
      <w:r w:rsidRPr="009F7C0A">
        <w:rPr>
          <w:rFonts w:ascii="Arial" w:hAnsi="Arial" w:cs="Arial"/>
          <w:sz w:val="24"/>
          <w:szCs w:val="24"/>
        </w:rPr>
        <w:t xml:space="preserve">)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5F349CC6" w14:textId="46F514F8" w:rsidR="00766883" w:rsidRDefault="00156177" w:rsidP="003E7AC7">
      <w:pPr>
        <w:pStyle w:val="ListParagraph"/>
        <w:numPr>
          <w:ilvl w:val="0"/>
          <w:numId w:val="2"/>
        </w:numPr>
        <w:rPr>
          <w:rFonts w:ascii="Arial" w:hAnsi="Arial" w:cs="Arial"/>
          <w:sz w:val="24"/>
          <w:szCs w:val="24"/>
        </w:rPr>
      </w:pPr>
      <w:r w:rsidRPr="00156177">
        <w:rPr>
          <w:rFonts w:ascii="Arial" w:hAnsi="Arial" w:cs="Arial"/>
          <w:sz w:val="24"/>
          <w:szCs w:val="24"/>
        </w:rPr>
        <w:t>These foundation industries are both energy and trade intensive and continu</w:t>
      </w:r>
      <w:r>
        <w:rPr>
          <w:rFonts w:ascii="Arial" w:hAnsi="Arial" w:cs="Arial"/>
          <w:sz w:val="24"/>
          <w:szCs w:val="24"/>
        </w:rPr>
        <w:t>e</w:t>
      </w:r>
      <w:r w:rsidRPr="00156177">
        <w:rPr>
          <w:rFonts w:ascii="Arial" w:hAnsi="Arial" w:cs="Arial"/>
          <w:sz w:val="24"/>
          <w:szCs w:val="24"/>
        </w:rPr>
        <w:t xml:space="preserve"> to invest in the UK. </w:t>
      </w:r>
      <w:r>
        <w:rPr>
          <w:rFonts w:ascii="Arial" w:hAnsi="Arial" w:cs="Arial"/>
          <w:sz w:val="24"/>
          <w:szCs w:val="24"/>
        </w:rPr>
        <w:t>T</w:t>
      </w:r>
      <w:r w:rsidRPr="00156177">
        <w:rPr>
          <w:rFonts w:ascii="Arial" w:hAnsi="Arial" w:cs="Arial"/>
          <w:sz w:val="24"/>
          <w:szCs w:val="24"/>
        </w:rPr>
        <w:t xml:space="preserve">o compete globally, </w:t>
      </w:r>
      <w:r>
        <w:rPr>
          <w:rFonts w:ascii="Arial" w:hAnsi="Arial" w:cs="Arial"/>
          <w:sz w:val="24"/>
          <w:szCs w:val="24"/>
        </w:rPr>
        <w:t>EIIs</w:t>
      </w:r>
      <w:r w:rsidRPr="00156177">
        <w:rPr>
          <w:rFonts w:ascii="Arial" w:hAnsi="Arial" w:cs="Arial"/>
          <w:sz w:val="24"/>
          <w:szCs w:val="24"/>
        </w:rPr>
        <w:t xml:space="preserve"> need secure, internationally competitive energy supplies and measures to mitigate the risk of carbon leakage. However, inward investment, growth and competitiveness have been hampered for years by UK energy costs being higher than those abroad. This has increased the risk of carbon leakage and deterred investments in decarbonisation. In some cases, investment, economic activity, emissions and jobs have relocated abroad, leading to a subsequent increase in imports, decrease in productivity and reduction in UK GDP.</w:t>
      </w:r>
      <w:r w:rsidR="00042DCB" w:rsidRPr="009F7C0A">
        <w:rPr>
          <w:rFonts w:ascii="Arial" w:hAnsi="Arial" w:cs="Arial"/>
          <w:sz w:val="24"/>
          <w:szCs w:val="24"/>
        </w:rPr>
        <w:t xml:space="preserve"> </w:t>
      </w:r>
    </w:p>
    <w:p w14:paraId="0277ADD6" w14:textId="77777777" w:rsidR="00156177" w:rsidRPr="00156177" w:rsidRDefault="00156177" w:rsidP="00156177">
      <w:pPr>
        <w:pStyle w:val="ListParagraph"/>
        <w:rPr>
          <w:rFonts w:ascii="Arial" w:hAnsi="Arial" w:cs="Arial"/>
          <w:sz w:val="24"/>
          <w:szCs w:val="24"/>
        </w:rPr>
      </w:pPr>
    </w:p>
    <w:p w14:paraId="1F079F51" w14:textId="211B5AD0" w:rsidR="00156177" w:rsidRDefault="00156177" w:rsidP="003E7AC7">
      <w:pPr>
        <w:pStyle w:val="ListParagraph"/>
        <w:numPr>
          <w:ilvl w:val="0"/>
          <w:numId w:val="2"/>
        </w:numPr>
        <w:rPr>
          <w:rFonts w:ascii="Arial" w:hAnsi="Arial" w:cs="Arial"/>
          <w:sz w:val="24"/>
          <w:szCs w:val="24"/>
        </w:rPr>
      </w:pPr>
      <w:r>
        <w:rPr>
          <w:rFonts w:ascii="Arial" w:hAnsi="Arial" w:cs="Arial"/>
          <w:sz w:val="24"/>
          <w:szCs w:val="24"/>
        </w:rPr>
        <w:t xml:space="preserve">This response focuses on those questions </w:t>
      </w:r>
      <w:r w:rsidR="00B260DA">
        <w:rPr>
          <w:rFonts w:ascii="Arial" w:hAnsi="Arial" w:cs="Arial"/>
          <w:sz w:val="24"/>
          <w:szCs w:val="24"/>
        </w:rPr>
        <w:t>in the call for evidence</w:t>
      </w:r>
      <w:r>
        <w:rPr>
          <w:rFonts w:ascii="Arial" w:hAnsi="Arial" w:cs="Arial"/>
          <w:sz w:val="24"/>
          <w:szCs w:val="24"/>
        </w:rPr>
        <w:t xml:space="preserve"> of most interest to EIIs. </w:t>
      </w:r>
    </w:p>
    <w:p w14:paraId="7F3A0C4C" w14:textId="77777777" w:rsidR="00942313" w:rsidRPr="00942313" w:rsidRDefault="00942313" w:rsidP="00942313">
      <w:pPr>
        <w:pStyle w:val="ListParagraph"/>
        <w:rPr>
          <w:rFonts w:ascii="Arial" w:hAnsi="Arial" w:cs="Arial"/>
          <w:sz w:val="24"/>
          <w:szCs w:val="24"/>
        </w:rPr>
      </w:pPr>
    </w:p>
    <w:p w14:paraId="5EE4811D" w14:textId="271B92B3" w:rsidR="00942313" w:rsidRDefault="00650D70" w:rsidP="003E7AC7">
      <w:pPr>
        <w:pStyle w:val="ListParagraph"/>
        <w:numPr>
          <w:ilvl w:val="0"/>
          <w:numId w:val="2"/>
        </w:numPr>
        <w:rPr>
          <w:rFonts w:ascii="Arial" w:hAnsi="Arial" w:cs="Arial"/>
          <w:sz w:val="24"/>
          <w:szCs w:val="24"/>
        </w:rPr>
      </w:pPr>
      <w:r>
        <w:rPr>
          <w:rFonts w:ascii="Arial" w:hAnsi="Arial" w:cs="Arial"/>
          <w:sz w:val="24"/>
          <w:szCs w:val="24"/>
        </w:rPr>
        <w:t>The EIUG’s main point is that a</w:t>
      </w:r>
      <w:r w:rsidRPr="00650D70">
        <w:rPr>
          <w:rFonts w:ascii="Arial" w:hAnsi="Arial" w:cs="Arial"/>
          <w:sz w:val="24"/>
          <w:szCs w:val="24"/>
        </w:rPr>
        <w:t>ccess to adequate electricity grid infrastructure represents a major constraint</w:t>
      </w:r>
      <w:r w:rsidR="00A2043A">
        <w:rPr>
          <w:rFonts w:ascii="Arial" w:hAnsi="Arial" w:cs="Arial"/>
          <w:sz w:val="24"/>
          <w:szCs w:val="24"/>
        </w:rPr>
        <w:t xml:space="preserve"> for industry to decarbonise and </w:t>
      </w:r>
      <w:r w:rsidR="001E558F">
        <w:rPr>
          <w:rFonts w:ascii="Arial" w:hAnsi="Arial" w:cs="Arial"/>
          <w:sz w:val="24"/>
          <w:szCs w:val="24"/>
        </w:rPr>
        <w:t>Government to reach N</w:t>
      </w:r>
      <w:r w:rsidRPr="00650D70">
        <w:rPr>
          <w:rFonts w:ascii="Arial" w:hAnsi="Arial" w:cs="Arial"/>
          <w:sz w:val="24"/>
          <w:szCs w:val="24"/>
        </w:rPr>
        <w:t xml:space="preserve">et Zero. </w:t>
      </w:r>
      <w:r w:rsidR="002D5EB3">
        <w:rPr>
          <w:rFonts w:ascii="Arial" w:hAnsi="Arial" w:cs="Arial"/>
          <w:sz w:val="24"/>
          <w:szCs w:val="24"/>
        </w:rPr>
        <w:t xml:space="preserve">It is likely many </w:t>
      </w:r>
      <w:r w:rsidR="001E558F">
        <w:rPr>
          <w:rFonts w:ascii="Arial" w:hAnsi="Arial" w:cs="Arial"/>
          <w:sz w:val="24"/>
          <w:szCs w:val="24"/>
        </w:rPr>
        <w:t>of the submission</w:t>
      </w:r>
      <w:r w:rsidR="002D5EB3">
        <w:rPr>
          <w:rFonts w:ascii="Arial" w:hAnsi="Arial" w:cs="Arial"/>
          <w:sz w:val="24"/>
          <w:szCs w:val="24"/>
        </w:rPr>
        <w:t>s</w:t>
      </w:r>
      <w:r w:rsidR="001E558F">
        <w:rPr>
          <w:rFonts w:ascii="Arial" w:hAnsi="Arial" w:cs="Arial"/>
          <w:sz w:val="24"/>
          <w:szCs w:val="24"/>
        </w:rPr>
        <w:t xml:space="preserve"> to this call for evidence have </w:t>
      </w:r>
      <w:r w:rsidR="002D5EB3">
        <w:rPr>
          <w:rFonts w:ascii="Arial" w:hAnsi="Arial" w:cs="Arial"/>
          <w:sz w:val="24"/>
          <w:szCs w:val="24"/>
        </w:rPr>
        <w:t xml:space="preserve">been submitted by </w:t>
      </w:r>
      <w:r w:rsidRPr="00650D70">
        <w:rPr>
          <w:rFonts w:ascii="Arial" w:hAnsi="Arial" w:cs="Arial"/>
          <w:sz w:val="24"/>
          <w:szCs w:val="24"/>
        </w:rPr>
        <w:t xml:space="preserve">renewable </w:t>
      </w:r>
      <w:r w:rsidR="00C06A7F">
        <w:rPr>
          <w:rFonts w:ascii="Arial" w:hAnsi="Arial" w:cs="Arial"/>
          <w:sz w:val="24"/>
          <w:szCs w:val="24"/>
        </w:rPr>
        <w:t>generators</w:t>
      </w:r>
      <w:r w:rsidRPr="00650D70">
        <w:rPr>
          <w:rFonts w:ascii="Arial" w:hAnsi="Arial" w:cs="Arial"/>
          <w:sz w:val="24"/>
          <w:szCs w:val="24"/>
        </w:rPr>
        <w:t xml:space="preserve">, </w:t>
      </w:r>
      <w:r w:rsidR="00EC7D51">
        <w:rPr>
          <w:rFonts w:ascii="Arial" w:hAnsi="Arial" w:cs="Arial"/>
          <w:sz w:val="24"/>
          <w:szCs w:val="24"/>
        </w:rPr>
        <w:t xml:space="preserve">however, </w:t>
      </w:r>
      <w:r w:rsidR="00C06A7F">
        <w:rPr>
          <w:rFonts w:ascii="Arial" w:hAnsi="Arial" w:cs="Arial"/>
          <w:sz w:val="24"/>
          <w:szCs w:val="24"/>
        </w:rPr>
        <w:t xml:space="preserve">the EIUG believes that </w:t>
      </w:r>
      <w:r w:rsidRPr="00650D70">
        <w:rPr>
          <w:rFonts w:ascii="Arial" w:hAnsi="Arial" w:cs="Arial"/>
          <w:sz w:val="24"/>
          <w:szCs w:val="24"/>
        </w:rPr>
        <w:t>it is crucial to recognise the impact of grid connection issues on the demand side</w:t>
      </w:r>
      <w:r w:rsidR="005E3448">
        <w:rPr>
          <w:rFonts w:ascii="Arial" w:hAnsi="Arial" w:cs="Arial"/>
          <w:sz w:val="24"/>
          <w:szCs w:val="24"/>
        </w:rPr>
        <w:t>. N</w:t>
      </w:r>
      <w:r w:rsidRPr="00650D70">
        <w:rPr>
          <w:rFonts w:ascii="Arial" w:hAnsi="Arial" w:cs="Arial"/>
          <w:sz w:val="24"/>
          <w:szCs w:val="24"/>
        </w:rPr>
        <w:t xml:space="preserve">ew or upgraded </w:t>
      </w:r>
      <w:r w:rsidR="005E3448">
        <w:rPr>
          <w:rFonts w:ascii="Arial" w:hAnsi="Arial" w:cs="Arial"/>
          <w:sz w:val="24"/>
          <w:szCs w:val="24"/>
        </w:rPr>
        <w:t xml:space="preserve">transmission or distribution network </w:t>
      </w:r>
      <w:r w:rsidRPr="00650D70">
        <w:rPr>
          <w:rFonts w:ascii="Arial" w:hAnsi="Arial" w:cs="Arial"/>
          <w:sz w:val="24"/>
          <w:szCs w:val="24"/>
        </w:rPr>
        <w:t>connections are required to enable industrial users to deploy a range of technologies</w:t>
      </w:r>
      <w:r w:rsidR="00EB145B">
        <w:rPr>
          <w:rFonts w:ascii="Arial" w:hAnsi="Arial" w:cs="Arial"/>
          <w:sz w:val="24"/>
          <w:szCs w:val="24"/>
        </w:rPr>
        <w:t>, such as electrification, hydrogen and CCUS,</w:t>
      </w:r>
      <w:r w:rsidRPr="00650D70">
        <w:rPr>
          <w:rFonts w:ascii="Arial" w:hAnsi="Arial" w:cs="Arial"/>
          <w:sz w:val="24"/>
          <w:szCs w:val="24"/>
        </w:rPr>
        <w:t xml:space="preserve"> critical for reducing </w:t>
      </w:r>
      <w:r w:rsidR="00EB145B">
        <w:rPr>
          <w:rFonts w:ascii="Arial" w:hAnsi="Arial" w:cs="Arial"/>
          <w:sz w:val="24"/>
          <w:szCs w:val="24"/>
        </w:rPr>
        <w:t>greenhouse gas emissions</w:t>
      </w:r>
      <w:r w:rsidRPr="00650D70">
        <w:rPr>
          <w:rFonts w:ascii="Arial" w:hAnsi="Arial" w:cs="Arial"/>
          <w:sz w:val="24"/>
          <w:szCs w:val="24"/>
        </w:rPr>
        <w:t xml:space="preserve"> in industrial </w:t>
      </w:r>
      <w:r w:rsidRPr="00650D70">
        <w:rPr>
          <w:rFonts w:ascii="Arial" w:hAnsi="Arial" w:cs="Arial"/>
          <w:sz w:val="24"/>
          <w:szCs w:val="24"/>
        </w:rPr>
        <w:lastRenderedPageBreak/>
        <w:t>and manufacturing sectors</w:t>
      </w:r>
      <w:r w:rsidR="00323305">
        <w:rPr>
          <w:rFonts w:ascii="Arial" w:hAnsi="Arial" w:cs="Arial"/>
          <w:sz w:val="24"/>
          <w:szCs w:val="24"/>
        </w:rPr>
        <w:t>. The UK</w:t>
      </w:r>
      <w:r w:rsidR="0060074A">
        <w:rPr>
          <w:rFonts w:ascii="Arial" w:hAnsi="Arial" w:cs="Arial"/>
          <w:sz w:val="24"/>
          <w:szCs w:val="24"/>
        </w:rPr>
        <w:t xml:space="preserve"> </w:t>
      </w:r>
      <w:r w:rsidR="00323305">
        <w:rPr>
          <w:rFonts w:ascii="Arial" w:hAnsi="Arial" w:cs="Arial"/>
          <w:sz w:val="24"/>
          <w:szCs w:val="24"/>
        </w:rPr>
        <w:t xml:space="preserve">risks that companies </w:t>
      </w:r>
      <w:r w:rsidR="00A05B9B">
        <w:rPr>
          <w:rFonts w:ascii="Arial" w:hAnsi="Arial" w:cs="Arial"/>
          <w:sz w:val="24"/>
          <w:szCs w:val="24"/>
        </w:rPr>
        <w:t>decided to</w:t>
      </w:r>
      <w:r w:rsidR="00323305">
        <w:rPr>
          <w:rFonts w:ascii="Arial" w:hAnsi="Arial" w:cs="Arial"/>
          <w:sz w:val="24"/>
          <w:szCs w:val="24"/>
        </w:rPr>
        <w:t xml:space="preserve"> </w:t>
      </w:r>
      <w:r w:rsidR="00A05B9B">
        <w:rPr>
          <w:rFonts w:ascii="Arial" w:hAnsi="Arial" w:cs="Arial"/>
          <w:sz w:val="24"/>
          <w:szCs w:val="24"/>
        </w:rPr>
        <w:t xml:space="preserve">put their </w:t>
      </w:r>
      <w:r w:rsidR="00323305">
        <w:rPr>
          <w:rFonts w:ascii="Arial" w:hAnsi="Arial" w:cs="Arial"/>
          <w:sz w:val="24"/>
          <w:szCs w:val="24"/>
        </w:rPr>
        <w:t>investment</w:t>
      </w:r>
      <w:r w:rsidR="00EC7D51">
        <w:rPr>
          <w:rFonts w:ascii="Arial" w:hAnsi="Arial" w:cs="Arial"/>
          <w:sz w:val="24"/>
          <w:szCs w:val="24"/>
        </w:rPr>
        <w:t xml:space="preserve">s in </w:t>
      </w:r>
      <w:r w:rsidR="00A05B9B">
        <w:rPr>
          <w:rFonts w:ascii="Arial" w:hAnsi="Arial" w:cs="Arial"/>
          <w:sz w:val="24"/>
          <w:szCs w:val="24"/>
        </w:rPr>
        <w:t xml:space="preserve">industrial decarbonisation </w:t>
      </w:r>
      <w:r w:rsidR="00EC7D51">
        <w:rPr>
          <w:rFonts w:ascii="Arial" w:hAnsi="Arial" w:cs="Arial"/>
          <w:sz w:val="24"/>
          <w:szCs w:val="24"/>
        </w:rPr>
        <w:t xml:space="preserve">in other countries </w:t>
      </w:r>
      <w:r w:rsidR="00A05B9B">
        <w:rPr>
          <w:rFonts w:ascii="Arial" w:hAnsi="Arial" w:cs="Arial"/>
          <w:sz w:val="24"/>
          <w:szCs w:val="24"/>
        </w:rPr>
        <w:t xml:space="preserve">because the network operators cannot provide the connection in time. </w:t>
      </w:r>
    </w:p>
    <w:p w14:paraId="22ADE58B" w14:textId="77777777" w:rsidR="00661ED9" w:rsidRPr="00661ED9" w:rsidRDefault="00661ED9" w:rsidP="00661ED9">
      <w:pPr>
        <w:pStyle w:val="ListParagraph"/>
        <w:rPr>
          <w:rFonts w:ascii="Arial" w:hAnsi="Arial" w:cs="Arial"/>
          <w:sz w:val="24"/>
          <w:szCs w:val="24"/>
        </w:rPr>
      </w:pPr>
    </w:p>
    <w:p w14:paraId="0387CE58" w14:textId="4B8E8C5C" w:rsidR="00DF644D" w:rsidRPr="006016E0" w:rsidRDefault="00B260DA" w:rsidP="00B260DA">
      <w:pPr>
        <w:rPr>
          <w:rFonts w:ascii="Arial" w:hAnsi="Arial" w:cs="Arial"/>
          <w:sz w:val="24"/>
          <w:szCs w:val="24"/>
        </w:rPr>
      </w:pPr>
      <w:r>
        <w:rPr>
          <w:rFonts w:ascii="Arial" w:hAnsi="Arial" w:cs="Arial"/>
          <w:b/>
          <w:bCs/>
          <w:i/>
          <w:iCs/>
          <w:sz w:val="24"/>
          <w:szCs w:val="24"/>
        </w:rPr>
        <w:t xml:space="preserve">Question </w:t>
      </w:r>
      <w:r w:rsidRPr="00B260DA">
        <w:rPr>
          <w:rFonts w:ascii="Arial" w:hAnsi="Arial" w:cs="Arial"/>
          <w:b/>
          <w:bCs/>
          <w:i/>
          <w:iCs/>
          <w:sz w:val="24"/>
          <w:szCs w:val="24"/>
        </w:rPr>
        <w:t>1. What is your view of the National Energy System Operator’s proposals to reform the connections queue? Will those changes be sufficient to ensure that projects necessary to meet the clean power target will be able to connect in a timely way? If not, what further changes are needed?</w:t>
      </w:r>
      <w:r>
        <w:rPr>
          <w:rFonts w:ascii="Arial" w:hAnsi="Arial" w:cs="Arial"/>
          <w:b/>
          <w:bCs/>
          <w:i/>
          <w:iCs/>
          <w:sz w:val="24"/>
          <w:szCs w:val="24"/>
        </w:rPr>
        <w:t xml:space="preserve"> </w:t>
      </w:r>
    </w:p>
    <w:p w14:paraId="3306C33E" w14:textId="725FB822" w:rsidR="0071774F" w:rsidRPr="00A05B9B" w:rsidRDefault="00CD2655"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The EIUG support the NESO’s proposals to reform the connections queue. However, </w:t>
      </w:r>
      <w:r w:rsidR="005E7C9B" w:rsidRPr="00A05B9B">
        <w:rPr>
          <w:rFonts w:ascii="Arial" w:hAnsi="Arial" w:cs="Arial"/>
          <w:sz w:val="24"/>
          <w:szCs w:val="24"/>
        </w:rPr>
        <w:t>despite the</w:t>
      </w:r>
      <w:r w:rsidRPr="00A05B9B">
        <w:rPr>
          <w:rFonts w:ascii="Arial" w:hAnsi="Arial" w:cs="Arial"/>
          <w:sz w:val="24"/>
          <w:szCs w:val="24"/>
        </w:rPr>
        <w:t xml:space="preserve"> measure</w:t>
      </w:r>
      <w:r w:rsidR="005E7C9B" w:rsidRPr="00A05B9B">
        <w:rPr>
          <w:rFonts w:ascii="Arial" w:hAnsi="Arial" w:cs="Arial"/>
          <w:sz w:val="24"/>
          <w:szCs w:val="24"/>
        </w:rPr>
        <w:t>s</w:t>
      </w:r>
      <w:r w:rsidRPr="00A05B9B">
        <w:rPr>
          <w:rFonts w:ascii="Arial" w:hAnsi="Arial" w:cs="Arial"/>
          <w:sz w:val="24"/>
          <w:szCs w:val="24"/>
        </w:rPr>
        <w:t xml:space="preserve"> it has already </w:t>
      </w:r>
      <w:r w:rsidR="005E7C9B" w:rsidRPr="00A05B9B">
        <w:rPr>
          <w:rFonts w:ascii="Arial" w:hAnsi="Arial" w:cs="Arial"/>
          <w:sz w:val="24"/>
          <w:szCs w:val="24"/>
        </w:rPr>
        <w:t xml:space="preserve">implemented, the capacity in the queue has kept on growing. </w:t>
      </w:r>
      <w:r w:rsidR="000F3382" w:rsidRPr="00A05B9B">
        <w:rPr>
          <w:rFonts w:ascii="Arial" w:hAnsi="Arial" w:cs="Arial"/>
          <w:sz w:val="24"/>
          <w:szCs w:val="24"/>
        </w:rPr>
        <w:t xml:space="preserve">The reform proposals recently consulted on </w:t>
      </w:r>
      <w:r w:rsidR="00090F6A" w:rsidRPr="00A05B9B">
        <w:rPr>
          <w:rFonts w:ascii="Arial" w:hAnsi="Arial" w:cs="Arial"/>
          <w:sz w:val="24"/>
          <w:szCs w:val="24"/>
        </w:rPr>
        <w:t xml:space="preserve">will likely reduce the volume of the queue, but probably not to the extent NESO hopes. </w:t>
      </w:r>
      <w:r w:rsidR="00F92F2E">
        <w:rPr>
          <w:rFonts w:ascii="Arial" w:hAnsi="Arial" w:cs="Arial"/>
          <w:sz w:val="24"/>
          <w:szCs w:val="24"/>
        </w:rPr>
        <w:t xml:space="preserve">Its announcement of a pause in new connection application is an indication of this issue. </w:t>
      </w:r>
    </w:p>
    <w:p w14:paraId="1FF5B1A8" w14:textId="77777777" w:rsidR="00A05B9B" w:rsidRDefault="00A05B9B" w:rsidP="00A05B9B">
      <w:pPr>
        <w:pStyle w:val="ListParagraph"/>
        <w:ind w:left="360"/>
        <w:rPr>
          <w:rFonts w:ascii="Arial" w:hAnsi="Arial" w:cs="Arial"/>
          <w:sz w:val="24"/>
          <w:szCs w:val="24"/>
        </w:rPr>
      </w:pPr>
    </w:p>
    <w:p w14:paraId="1339AB7D" w14:textId="5D27F69F" w:rsidR="00942313" w:rsidRPr="00A05B9B" w:rsidRDefault="00942313"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The EIUG believes that </w:t>
      </w:r>
      <w:r w:rsidR="005B22EA" w:rsidRPr="00A05B9B">
        <w:rPr>
          <w:rFonts w:ascii="Arial" w:hAnsi="Arial" w:cs="Arial"/>
          <w:sz w:val="24"/>
          <w:szCs w:val="24"/>
        </w:rPr>
        <w:t>soon</w:t>
      </w:r>
      <w:r w:rsidR="00B03B09" w:rsidRPr="00A05B9B">
        <w:rPr>
          <w:rFonts w:ascii="Arial" w:hAnsi="Arial" w:cs="Arial"/>
          <w:sz w:val="24"/>
          <w:szCs w:val="24"/>
        </w:rPr>
        <w:t>er</w:t>
      </w:r>
      <w:r w:rsidR="005B22EA" w:rsidRPr="00A05B9B">
        <w:rPr>
          <w:rFonts w:ascii="Arial" w:hAnsi="Arial" w:cs="Arial"/>
          <w:sz w:val="24"/>
          <w:szCs w:val="24"/>
        </w:rPr>
        <w:t xml:space="preserve"> or later the NESO </w:t>
      </w:r>
      <w:r w:rsidR="00F60671" w:rsidRPr="00A05B9B">
        <w:rPr>
          <w:rFonts w:ascii="Arial" w:hAnsi="Arial" w:cs="Arial"/>
          <w:sz w:val="24"/>
          <w:szCs w:val="24"/>
        </w:rPr>
        <w:t>must</w:t>
      </w:r>
      <w:r w:rsidR="005B22EA" w:rsidRPr="00A05B9B">
        <w:rPr>
          <w:rFonts w:ascii="Arial" w:hAnsi="Arial" w:cs="Arial"/>
          <w:sz w:val="24"/>
          <w:szCs w:val="24"/>
        </w:rPr>
        <w:t xml:space="preserve"> prioritise </w:t>
      </w:r>
      <w:r w:rsidR="00B03B09" w:rsidRPr="00A05B9B">
        <w:rPr>
          <w:rFonts w:ascii="Arial" w:hAnsi="Arial" w:cs="Arial"/>
          <w:sz w:val="24"/>
          <w:szCs w:val="24"/>
        </w:rPr>
        <w:t xml:space="preserve">which new </w:t>
      </w:r>
      <w:r w:rsidR="005B22EA" w:rsidRPr="00A05B9B">
        <w:rPr>
          <w:rFonts w:ascii="Arial" w:hAnsi="Arial" w:cs="Arial"/>
          <w:sz w:val="24"/>
          <w:szCs w:val="24"/>
        </w:rPr>
        <w:t>connection</w:t>
      </w:r>
      <w:r w:rsidR="00F60671">
        <w:rPr>
          <w:rFonts w:ascii="Arial" w:hAnsi="Arial" w:cs="Arial"/>
          <w:sz w:val="24"/>
          <w:szCs w:val="24"/>
        </w:rPr>
        <w:t>s</w:t>
      </w:r>
      <w:r w:rsidR="005B22EA" w:rsidRPr="00A05B9B">
        <w:rPr>
          <w:rFonts w:ascii="Arial" w:hAnsi="Arial" w:cs="Arial"/>
          <w:sz w:val="24"/>
          <w:szCs w:val="24"/>
        </w:rPr>
        <w:t xml:space="preserve"> to progress. It </w:t>
      </w:r>
      <w:r w:rsidR="00841819" w:rsidRPr="00A05B9B">
        <w:rPr>
          <w:rFonts w:ascii="Arial" w:hAnsi="Arial" w:cs="Arial"/>
          <w:sz w:val="24"/>
          <w:szCs w:val="24"/>
        </w:rPr>
        <w:t xml:space="preserve">currently </w:t>
      </w:r>
      <w:r w:rsidR="005B22EA" w:rsidRPr="00A05B9B">
        <w:rPr>
          <w:rFonts w:ascii="Arial" w:hAnsi="Arial" w:cs="Arial"/>
          <w:sz w:val="24"/>
          <w:szCs w:val="24"/>
        </w:rPr>
        <w:t>already ha</w:t>
      </w:r>
      <w:r w:rsidR="00841819" w:rsidRPr="00A05B9B">
        <w:rPr>
          <w:rFonts w:ascii="Arial" w:hAnsi="Arial" w:cs="Arial"/>
          <w:sz w:val="24"/>
          <w:szCs w:val="24"/>
        </w:rPr>
        <w:t>s</w:t>
      </w:r>
      <w:r w:rsidR="005B22EA" w:rsidRPr="00A05B9B">
        <w:rPr>
          <w:rFonts w:ascii="Arial" w:hAnsi="Arial" w:cs="Arial"/>
          <w:sz w:val="24"/>
          <w:szCs w:val="24"/>
        </w:rPr>
        <w:t xml:space="preserve"> a </w:t>
      </w:r>
      <w:hyperlink r:id="rId11" w:history="1">
        <w:r w:rsidR="005B22EA" w:rsidRPr="00A05B9B">
          <w:rPr>
            <w:rStyle w:val="Hyperlink"/>
            <w:rFonts w:ascii="Arial" w:hAnsi="Arial" w:cs="Arial"/>
            <w:sz w:val="24"/>
            <w:szCs w:val="24"/>
          </w:rPr>
          <w:t xml:space="preserve">prioritisation </w:t>
        </w:r>
        <w:r w:rsidR="00385C30" w:rsidRPr="00A05B9B">
          <w:rPr>
            <w:rStyle w:val="Hyperlink"/>
            <w:rFonts w:ascii="Arial" w:hAnsi="Arial" w:cs="Arial"/>
            <w:sz w:val="24"/>
            <w:szCs w:val="24"/>
          </w:rPr>
          <w:t>framework</w:t>
        </w:r>
      </w:hyperlink>
      <w:r w:rsidR="00385C30" w:rsidRPr="00A05B9B">
        <w:rPr>
          <w:rFonts w:ascii="Arial" w:hAnsi="Arial" w:cs="Arial"/>
          <w:sz w:val="24"/>
          <w:szCs w:val="24"/>
        </w:rPr>
        <w:t xml:space="preserve"> </w:t>
      </w:r>
      <w:r w:rsidR="00841819" w:rsidRPr="00A05B9B">
        <w:rPr>
          <w:rFonts w:ascii="Arial" w:hAnsi="Arial" w:cs="Arial"/>
          <w:sz w:val="24"/>
          <w:szCs w:val="24"/>
        </w:rPr>
        <w:t xml:space="preserve">in place </w:t>
      </w:r>
      <w:r w:rsidR="00385C30" w:rsidRPr="00A05B9B">
        <w:rPr>
          <w:rFonts w:ascii="Arial" w:hAnsi="Arial" w:cs="Arial"/>
          <w:sz w:val="24"/>
          <w:szCs w:val="24"/>
        </w:rPr>
        <w:t xml:space="preserve">focussing on </w:t>
      </w:r>
      <w:r w:rsidR="001859E1" w:rsidRPr="00A05B9B">
        <w:rPr>
          <w:rFonts w:ascii="Arial" w:hAnsi="Arial" w:cs="Arial"/>
          <w:sz w:val="24"/>
          <w:szCs w:val="24"/>
        </w:rPr>
        <w:t xml:space="preserve">projects that can provides </w:t>
      </w:r>
      <w:r w:rsidR="00385C30" w:rsidRPr="00A05B9B">
        <w:rPr>
          <w:rFonts w:ascii="Arial" w:hAnsi="Arial" w:cs="Arial"/>
          <w:sz w:val="24"/>
          <w:szCs w:val="24"/>
        </w:rPr>
        <w:t xml:space="preserve">services to the grid, </w:t>
      </w:r>
      <w:r w:rsidR="001859E1" w:rsidRPr="00A05B9B">
        <w:rPr>
          <w:rFonts w:ascii="Arial" w:hAnsi="Arial" w:cs="Arial"/>
          <w:sz w:val="24"/>
          <w:szCs w:val="24"/>
        </w:rPr>
        <w:t xml:space="preserve">projects that are new technologies and/or highly innovative and/or </w:t>
      </w:r>
      <w:r w:rsidR="00B02E07" w:rsidRPr="00A05B9B">
        <w:rPr>
          <w:rFonts w:ascii="Arial" w:hAnsi="Arial" w:cs="Arial"/>
          <w:sz w:val="24"/>
          <w:szCs w:val="24"/>
        </w:rPr>
        <w:t xml:space="preserve">projects with very long lead times, </w:t>
      </w:r>
      <w:r w:rsidR="00385C30" w:rsidRPr="00A05B9B">
        <w:rPr>
          <w:rFonts w:ascii="Arial" w:hAnsi="Arial" w:cs="Arial"/>
          <w:sz w:val="24"/>
          <w:szCs w:val="24"/>
        </w:rPr>
        <w:t xml:space="preserve">but </w:t>
      </w:r>
      <w:r w:rsidR="00B02E07" w:rsidRPr="00A05B9B">
        <w:rPr>
          <w:rFonts w:ascii="Arial" w:hAnsi="Arial" w:cs="Arial"/>
          <w:sz w:val="24"/>
          <w:szCs w:val="24"/>
        </w:rPr>
        <w:t xml:space="preserve">the EIUG deems this </w:t>
      </w:r>
      <w:r w:rsidR="00385C30" w:rsidRPr="00A05B9B">
        <w:rPr>
          <w:rFonts w:ascii="Arial" w:hAnsi="Arial" w:cs="Arial"/>
          <w:sz w:val="24"/>
          <w:szCs w:val="24"/>
        </w:rPr>
        <w:t xml:space="preserve">not sufficient to </w:t>
      </w:r>
      <w:r w:rsidR="00B55A18" w:rsidRPr="00A05B9B">
        <w:rPr>
          <w:rFonts w:ascii="Arial" w:hAnsi="Arial" w:cs="Arial"/>
          <w:sz w:val="24"/>
          <w:szCs w:val="24"/>
        </w:rPr>
        <w:t>facility new connection</w:t>
      </w:r>
      <w:r w:rsidR="001C01B1" w:rsidRPr="00A05B9B">
        <w:rPr>
          <w:rFonts w:ascii="Arial" w:hAnsi="Arial" w:cs="Arial"/>
          <w:sz w:val="24"/>
          <w:szCs w:val="24"/>
        </w:rPr>
        <w:t>s</w:t>
      </w:r>
      <w:r w:rsidR="00B55A18" w:rsidRPr="00A05B9B">
        <w:rPr>
          <w:rFonts w:ascii="Arial" w:hAnsi="Arial" w:cs="Arial"/>
          <w:sz w:val="24"/>
          <w:szCs w:val="24"/>
        </w:rPr>
        <w:t xml:space="preserve"> to meet the 2030 Clean Power target</w:t>
      </w:r>
      <w:r w:rsidR="001C01B1" w:rsidRPr="00A05B9B">
        <w:rPr>
          <w:rFonts w:ascii="Arial" w:hAnsi="Arial" w:cs="Arial"/>
          <w:sz w:val="24"/>
          <w:szCs w:val="24"/>
        </w:rPr>
        <w:t xml:space="preserve"> or </w:t>
      </w:r>
      <w:r w:rsidR="00B55A18" w:rsidRPr="00A05B9B">
        <w:rPr>
          <w:rFonts w:ascii="Arial" w:hAnsi="Arial" w:cs="Arial"/>
          <w:sz w:val="24"/>
          <w:szCs w:val="24"/>
        </w:rPr>
        <w:t xml:space="preserve">connect demand </w:t>
      </w:r>
      <w:r w:rsidR="00AD22D1" w:rsidRPr="00A05B9B">
        <w:rPr>
          <w:rFonts w:ascii="Arial" w:hAnsi="Arial" w:cs="Arial"/>
          <w:sz w:val="24"/>
          <w:szCs w:val="24"/>
        </w:rPr>
        <w:t xml:space="preserve">users </w:t>
      </w:r>
      <w:r w:rsidR="001C01B1" w:rsidRPr="00A05B9B">
        <w:rPr>
          <w:rFonts w:ascii="Arial" w:hAnsi="Arial" w:cs="Arial"/>
          <w:sz w:val="24"/>
          <w:szCs w:val="24"/>
        </w:rPr>
        <w:t xml:space="preserve">to meet the </w:t>
      </w:r>
      <w:r w:rsidR="00AD22D1" w:rsidRPr="00A05B9B">
        <w:rPr>
          <w:rFonts w:ascii="Arial" w:hAnsi="Arial" w:cs="Arial"/>
          <w:sz w:val="24"/>
          <w:szCs w:val="24"/>
        </w:rPr>
        <w:t xml:space="preserve">Net Zero </w:t>
      </w:r>
      <w:r w:rsidR="001C01B1" w:rsidRPr="00A05B9B">
        <w:rPr>
          <w:rFonts w:ascii="Arial" w:hAnsi="Arial" w:cs="Arial"/>
          <w:sz w:val="24"/>
          <w:szCs w:val="24"/>
        </w:rPr>
        <w:t xml:space="preserve">target </w:t>
      </w:r>
      <w:r w:rsidR="00AD22D1" w:rsidRPr="00A05B9B">
        <w:rPr>
          <w:rFonts w:ascii="Arial" w:hAnsi="Arial" w:cs="Arial"/>
          <w:sz w:val="24"/>
          <w:szCs w:val="24"/>
        </w:rPr>
        <w:t xml:space="preserve">by 2050. </w:t>
      </w:r>
      <w:r w:rsidR="0058469C" w:rsidRPr="00A05B9B">
        <w:rPr>
          <w:rFonts w:ascii="Arial" w:hAnsi="Arial" w:cs="Arial"/>
          <w:sz w:val="24"/>
          <w:szCs w:val="24"/>
        </w:rPr>
        <w:t xml:space="preserve">It is not in the NESO’s remit to </w:t>
      </w:r>
      <w:r w:rsidR="00FB3183" w:rsidRPr="00A05B9B">
        <w:rPr>
          <w:rFonts w:ascii="Arial" w:hAnsi="Arial" w:cs="Arial"/>
          <w:sz w:val="24"/>
          <w:szCs w:val="24"/>
        </w:rPr>
        <w:t xml:space="preserve">decide what framework to use to prioritise new connections </w:t>
      </w:r>
      <w:r w:rsidR="009D7CDC" w:rsidRPr="00A05B9B">
        <w:rPr>
          <w:rFonts w:ascii="Arial" w:hAnsi="Arial" w:cs="Arial"/>
          <w:sz w:val="24"/>
          <w:szCs w:val="24"/>
        </w:rPr>
        <w:t xml:space="preserve">to meet the Government’s wider Net Zero objectives </w:t>
      </w:r>
      <w:r w:rsidR="00FB3183" w:rsidRPr="00A05B9B">
        <w:rPr>
          <w:rFonts w:ascii="Arial" w:hAnsi="Arial" w:cs="Arial"/>
          <w:sz w:val="24"/>
          <w:szCs w:val="24"/>
        </w:rPr>
        <w:t xml:space="preserve">as </w:t>
      </w:r>
      <w:r w:rsidR="001F3144" w:rsidRPr="00A05B9B">
        <w:rPr>
          <w:rFonts w:ascii="Arial" w:hAnsi="Arial" w:cs="Arial"/>
          <w:sz w:val="24"/>
          <w:szCs w:val="24"/>
        </w:rPr>
        <w:t xml:space="preserve">it </w:t>
      </w:r>
      <w:r w:rsidR="00FB3183" w:rsidRPr="00A05B9B">
        <w:rPr>
          <w:rFonts w:ascii="Arial" w:hAnsi="Arial" w:cs="Arial"/>
          <w:sz w:val="24"/>
          <w:szCs w:val="24"/>
        </w:rPr>
        <w:t xml:space="preserve">is </w:t>
      </w:r>
      <w:r w:rsidR="001F3144" w:rsidRPr="00A05B9B">
        <w:rPr>
          <w:rFonts w:ascii="Arial" w:hAnsi="Arial" w:cs="Arial"/>
          <w:sz w:val="24"/>
          <w:szCs w:val="24"/>
        </w:rPr>
        <w:t xml:space="preserve">for the latter </w:t>
      </w:r>
      <w:r w:rsidR="00FB3183" w:rsidRPr="00A05B9B">
        <w:rPr>
          <w:rFonts w:ascii="Arial" w:hAnsi="Arial" w:cs="Arial"/>
          <w:sz w:val="24"/>
          <w:szCs w:val="24"/>
        </w:rPr>
        <w:t>to balance the various trade-offs</w:t>
      </w:r>
      <w:r w:rsidR="00F240B8" w:rsidRPr="00A05B9B">
        <w:rPr>
          <w:rFonts w:ascii="Arial" w:hAnsi="Arial" w:cs="Arial"/>
          <w:sz w:val="24"/>
          <w:szCs w:val="24"/>
        </w:rPr>
        <w:t>.</w:t>
      </w:r>
      <w:r w:rsidR="008E6CE7" w:rsidRPr="00A05B9B">
        <w:rPr>
          <w:rFonts w:ascii="Arial" w:hAnsi="Arial" w:cs="Arial"/>
          <w:sz w:val="24"/>
          <w:szCs w:val="24"/>
        </w:rPr>
        <w:t xml:space="preserve"> The EIUG pointed this out in its submission to the </w:t>
      </w:r>
      <w:r w:rsidR="00F44C9D" w:rsidRPr="00A05B9B">
        <w:rPr>
          <w:rFonts w:ascii="Arial" w:hAnsi="Arial" w:cs="Arial"/>
          <w:sz w:val="24"/>
          <w:szCs w:val="24"/>
        </w:rPr>
        <w:t xml:space="preserve">industry code modifications to implement the NESO’s reform proposals. </w:t>
      </w:r>
      <w:r w:rsidR="00F240B8" w:rsidRPr="00A05B9B">
        <w:rPr>
          <w:rFonts w:ascii="Arial" w:hAnsi="Arial" w:cs="Arial"/>
          <w:sz w:val="24"/>
          <w:szCs w:val="24"/>
        </w:rPr>
        <w:t xml:space="preserve"> </w:t>
      </w:r>
    </w:p>
    <w:p w14:paraId="60BF0ADE" w14:textId="77777777" w:rsidR="00A605A0" w:rsidRDefault="00A605A0" w:rsidP="0071774F">
      <w:pPr>
        <w:rPr>
          <w:rFonts w:ascii="Arial" w:hAnsi="Arial" w:cs="Arial"/>
          <w:sz w:val="24"/>
          <w:szCs w:val="24"/>
        </w:rPr>
      </w:pPr>
    </w:p>
    <w:p w14:paraId="042EEE5A" w14:textId="3E61C844" w:rsidR="001614B9" w:rsidRPr="001614B9" w:rsidRDefault="0071774F" w:rsidP="0071774F">
      <w:pPr>
        <w:rPr>
          <w:rFonts w:ascii="Arial" w:hAnsi="Arial" w:cs="Arial"/>
          <w:sz w:val="24"/>
          <w:szCs w:val="24"/>
        </w:rPr>
      </w:pPr>
      <w:r w:rsidRPr="0071774F">
        <w:rPr>
          <w:rFonts w:ascii="Arial" w:hAnsi="Arial" w:cs="Arial"/>
          <w:b/>
          <w:bCs/>
          <w:i/>
          <w:iCs/>
          <w:sz w:val="24"/>
          <w:szCs w:val="24"/>
        </w:rPr>
        <w:t xml:space="preserve">Question </w:t>
      </w:r>
      <w:r w:rsidR="00B260DA" w:rsidRPr="00B260DA">
        <w:rPr>
          <w:rFonts w:ascii="Arial" w:hAnsi="Arial" w:cs="Arial"/>
          <w:b/>
          <w:bCs/>
          <w:i/>
          <w:iCs/>
          <w:sz w:val="24"/>
          <w:szCs w:val="24"/>
        </w:rPr>
        <w:t>6. Are Ofgem’s price controls and regulatory regime appropriately balanced to ensure the necessary network investment to meet the UK’s clean power target? Are changes needed to ensure greater network investment, and if so, what should those changes be?</w:t>
      </w:r>
    </w:p>
    <w:p w14:paraId="1E132269" w14:textId="51514CB2" w:rsidR="0083324A" w:rsidRDefault="001F7EBF"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The EIUG thinks that the regulatory regime is not appropriately balanced </w:t>
      </w:r>
      <w:r w:rsidR="009C5344" w:rsidRPr="00A05B9B">
        <w:rPr>
          <w:rFonts w:ascii="Arial" w:hAnsi="Arial" w:cs="Arial"/>
          <w:sz w:val="24"/>
          <w:szCs w:val="24"/>
        </w:rPr>
        <w:t>to ensure the necessary network investment. The UK needs greater network investment</w:t>
      </w:r>
      <w:r w:rsidR="003C3ADC">
        <w:rPr>
          <w:rFonts w:ascii="Arial" w:hAnsi="Arial" w:cs="Arial"/>
          <w:sz w:val="24"/>
          <w:szCs w:val="24"/>
        </w:rPr>
        <w:t>,</w:t>
      </w:r>
      <w:r w:rsidR="009C5344" w:rsidRPr="00A05B9B">
        <w:rPr>
          <w:rFonts w:ascii="Arial" w:hAnsi="Arial" w:cs="Arial"/>
          <w:sz w:val="24"/>
          <w:szCs w:val="24"/>
        </w:rPr>
        <w:t xml:space="preserve"> </w:t>
      </w:r>
      <w:r w:rsidR="004F246D" w:rsidRPr="00A05B9B">
        <w:rPr>
          <w:rFonts w:ascii="Arial" w:hAnsi="Arial" w:cs="Arial"/>
          <w:sz w:val="24"/>
          <w:szCs w:val="24"/>
        </w:rPr>
        <w:t xml:space="preserve">but it now risks inefficient over-investment in network capacity to </w:t>
      </w:r>
      <w:r w:rsidR="00A26E5F" w:rsidRPr="00A05B9B">
        <w:rPr>
          <w:rFonts w:ascii="Arial" w:hAnsi="Arial" w:cs="Arial"/>
          <w:sz w:val="24"/>
          <w:szCs w:val="24"/>
        </w:rPr>
        <w:t xml:space="preserve">meet demand. </w:t>
      </w:r>
      <w:r w:rsidR="00AE2188" w:rsidRPr="00A05B9B">
        <w:rPr>
          <w:rFonts w:ascii="Arial" w:hAnsi="Arial" w:cs="Arial"/>
          <w:sz w:val="24"/>
          <w:szCs w:val="24"/>
        </w:rPr>
        <w:t xml:space="preserve">Such inefficient over-investment will lead to higher network charges in electricity prices. </w:t>
      </w:r>
    </w:p>
    <w:p w14:paraId="724DD74B" w14:textId="77777777" w:rsidR="00A05B9B" w:rsidRPr="00A05B9B" w:rsidRDefault="00A05B9B" w:rsidP="00A05B9B">
      <w:pPr>
        <w:pStyle w:val="ListParagraph"/>
        <w:ind w:left="360"/>
        <w:rPr>
          <w:rFonts w:ascii="Arial" w:hAnsi="Arial" w:cs="Arial"/>
          <w:sz w:val="24"/>
          <w:szCs w:val="24"/>
        </w:rPr>
      </w:pPr>
    </w:p>
    <w:p w14:paraId="1F73A775" w14:textId="68E595CE" w:rsidR="00C62CC6" w:rsidRDefault="00AE2188"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NESO’s predecessor </w:t>
      </w:r>
      <w:r w:rsidR="00E26C5D" w:rsidRPr="00A05B9B">
        <w:rPr>
          <w:rFonts w:ascii="Arial" w:hAnsi="Arial" w:cs="Arial"/>
          <w:sz w:val="24"/>
          <w:szCs w:val="24"/>
        </w:rPr>
        <w:t xml:space="preserve">used to have a financial incentive in place to </w:t>
      </w:r>
      <w:r w:rsidR="001B4755" w:rsidRPr="00A05B9B">
        <w:rPr>
          <w:rFonts w:ascii="Arial" w:hAnsi="Arial" w:cs="Arial"/>
          <w:sz w:val="24"/>
          <w:szCs w:val="24"/>
        </w:rPr>
        <w:t xml:space="preserve">encourage large demand users to reduce consumption at peak demand times to avoid </w:t>
      </w:r>
      <w:r w:rsidR="00111AC2" w:rsidRPr="00A05B9B">
        <w:rPr>
          <w:rFonts w:ascii="Arial" w:hAnsi="Arial" w:cs="Arial"/>
          <w:sz w:val="24"/>
          <w:szCs w:val="24"/>
        </w:rPr>
        <w:t>inefficient over-investment in the network</w:t>
      </w:r>
      <w:r w:rsidR="00B36C42" w:rsidRPr="00A05B9B">
        <w:rPr>
          <w:rFonts w:ascii="Arial" w:hAnsi="Arial" w:cs="Arial"/>
          <w:sz w:val="24"/>
          <w:szCs w:val="24"/>
        </w:rPr>
        <w:t xml:space="preserve">, thereby lowering the Transmission Network Use of </w:t>
      </w:r>
      <w:r w:rsidR="009813B3" w:rsidRPr="00A05B9B">
        <w:rPr>
          <w:rFonts w:ascii="Arial" w:hAnsi="Arial" w:cs="Arial"/>
          <w:sz w:val="24"/>
          <w:szCs w:val="24"/>
        </w:rPr>
        <w:t xml:space="preserve">System charge. </w:t>
      </w:r>
      <w:r w:rsidR="00C62CC6" w:rsidRPr="00A05B9B">
        <w:rPr>
          <w:rFonts w:ascii="Arial" w:hAnsi="Arial" w:cs="Arial"/>
          <w:sz w:val="24"/>
          <w:szCs w:val="24"/>
        </w:rPr>
        <w:t xml:space="preserve">The table below shows the </w:t>
      </w:r>
      <w:r w:rsidR="00881CB3" w:rsidRPr="00A05B9B">
        <w:rPr>
          <w:rFonts w:ascii="Arial" w:hAnsi="Arial" w:cs="Arial"/>
          <w:sz w:val="24"/>
          <w:szCs w:val="24"/>
        </w:rPr>
        <w:t xml:space="preserve">NESO’s processor’s </w:t>
      </w:r>
      <w:r w:rsidR="00C62CC6" w:rsidRPr="00A05B9B">
        <w:rPr>
          <w:rFonts w:ascii="Arial" w:hAnsi="Arial" w:cs="Arial"/>
          <w:sz w:val="24"/>
          <w:szCs w:val="24"/>
        </w:rPr>
        <w:t>maxim</w:t>
      </w:r>
      <w:r w:rsidR="00881CB3" w:rsidRPr="00A05B9B">
        <w:rPr>
          <w:rFonts w:ascii="Arial" w:hAnsi="Arial" w:cs="Arial"/>
          <w:sz w:val="24"/>
          <w:szCs w:val="24"/>
        </w:rPr>
        <w:t>um</w:t>
      </w:r>
      <w:r w:rsidR="00C62CC6" w:rsidRPr="00A05B9B">
        <w:rPr>
          <w:rFonts w:ascii="Arial" w:hAnsi="Arial" w:cs="Arial"/>
          <w:sz w:val="24"/>
          <w:szCs w:val="24"/>
        </w:rPr>
        <w:t xml:space="preserve"> estimated reduction in capacity in response to triad in the past winters. </w:t>
      </w:r>
    </w:p>
    <w:p w14:paraId="3BBB7F3C" w14:textId="77777777" w:rsidR="008F1964" w:rsidRPr="008F1964" w:rsidRDefault="008F1964" w:rsidP="008F1964">
      <w:pPr>
        <w:pStyle w:val="ListParagraph"/>
        <w:rPr>
          <w:rFonts w:ascii="Arial" w:hAnsi="Arial" w:cs="Arial"/>
          <w:sz w:val="24"/>
          <w:szCs w:val="24"/>
        </w:rPr>
      </w:pPr>
    </w:p>
    <w:p w14:paraId="57282FB8" w14:textId="77777777" w:rsidR="008F1964" w:rsidRPr="00A05B9B" w:rsidRDefault="008F1964" w:rsidP="008F1964">
      <w:pPr>
        <w:pStyle w:val="ListParagraph"/>
        <w:ind w:left="360"/>
        <w:rPr>
          <w:rFonts w:ascii="Arial" w:hAnsi="Arial" w:cs="Arial"/>
          <w:sz w:val="24"/>
          <w:szCs w:val="24"/>
        </w:rPr>
      </w:pPr>
    </w:p>
    <w:tbl>
      <w:tblPr>
        <w:tblStyle w:val="TableGrid"/>
        <w:tblW w:w="0" w:type="auto"/>
        <w:jc w:val="center"/>
        <w:tblLook w:val="04A0" w:firstRow="1" w:lastRow="0" w:firstColumn="1" w:lastColumn="0" w:noHBand="0" w:noVBand="1"/>
      </w:tblPr>
      <w:tblGrid>
        <w:gridCol w:w="1696"/>
        <w:gridCol w:w="2835"/>
      </w:tblGrid>
      <w:tr w:rsidR="00C62CC6" w:rsidRPr="00E26601" w14:paraId="7D04E0BE" w14:textId="77777777" w:rsidTr="007A76AC">
        <w:trPr>
          <w:jc w:val="center"/>
        </w:trPr>
        <w:tc>
          <w:tcPr>
            <w:tcW w:w="1696" w:type="dxa"/>
          </w:tcPr>
          <w:p w14:paraId="32EC03E7" w14:textId="77777777" w:rsidR="00C62CC6" w:rsidRPr="00E26601" w:rsidRDefault="00C62CC6" w:rsidP="007A76AC">
            <w:pPr>
              <w:rPr>
                <w:rFonts w:ascii="Arial" w:hAnsi="Arial" w:cs="Arial"/>
                <w:sz w:val="24"/>
                <w:szCs w:val="24"/>
              </w:rPr>
            </w:pPr>
            <w:r w:rsidRPr="00E26601">
              <w:rPr>
                <w:rFonts w:ascii="Arial" w:hAnsi="Arial" w:cs="Arial"/>
                <w:sz w:val="24"/>
                <w:szCs w:val="24"/>
              </w:rPr>
              <w:lastRenderedPageBreak/>
              <w:t xml:space="preserve">Winter </w:t>
            </w:r>
          </w:p>
        </w:tc>
        <w:tc>
          <w:tcPr>
            <w:tcW w:w="2835" w:type="dxa"/>
          </w:tcPr>
          <w:p w14:paraId="235E8AF0" w14:textId="77777777" w:rsidR="00C62CC6" w:rsidRPr="00E26601" w:rsidRDefault="00C62CC6" w:rsidP="007A76AC">
            <w:pPr>
              <w:rPr>
                <w:rFonts w:ascii="Arial" w:hAnsi="Arial" w:cs="Arial"/>
                <w:sz w:val="24"/>
                <w:szCs w:val="24"/>
              </w:rPr>
            </w:pPr>
            <w:r w:rsidRPr="00E26601">
              <w:rPr>
                <w:rFonts w:ascii="Arial" w:hAnsi="Arial" w:cs="Arial"/>
                <w:sz w:val="24"/>
                <w:szCs w:val="24"/>
              </w:rPr>
              <w:t>Max Est. Capacity (GW)</w:t>
            </w:r>
          </w:p>
        </w:tc>
      </w:tr>
      <w:tr w:rsidR="00C62CC6" w:rsidRPr="00E26601" w14:paraId="2331C101" w14:textId="77777777" w:rsidTr="007A76AC">
        <w:trPr>
          <w:jc w:val="center"/>
        </w:trPr>
        <w:tc>
          <w:tcPr>
            <w:tcW w:w="1696" w:type="dxa"/>
          </w:tcPr>
          <w:p w14:paraId="3F2EC4C5"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2021/2022</w:t>
            </w:r>
          </w:p>
        </w:tc>
        <w:tc>
          <w:tcPr>
            <w:tcW w:w="2835" w:type="dxa"/>
          </w:tcPr>
          <w:p w14:paraId="003F9B34"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1.3</w:t>
            </w:r>
          </w:p>
        </w:tc>
      </w:tr>
      <w:tr w:rsidR="00C62CC6" w:rsidRPr="00E26601" w14:paraId="7D09E425" w14:textId="77777777" w:rsidTr="007A76AC">
        <w:trPr>
          <w:jc w:val="center"/>
        </w:trPr>
        <w:tc>
          <w:tcPr>
            <w:tcW w:w="1696" w:type="dxa"/>
          </w:tcPr>
          <w:p w14:paraId="46C61629"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2020/2021</w:t>
            </w:r>
          </w:p>
        </w:tc>
        <w:tc>
          <w:tcPr>
            <w:tcW w:w="2835" w:type="dxa"/>
          </w:tcPr>
          <w:p w14:paraId="384D001B"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1.7</w:t>
            </w:r>
          </w:p>
        </w:tc>
      </w:tr>
      <w:tr w:rsidR="00C62CC6" w:rsidRPr="00E26601" w14:paraId="50A9E39A" w14:textId="77777777" w:rsidTr="007A76AC">
        <w:trPr>
          <w:jc w:val="center"/>
        </w:trPr>
        <w:tc>
          <w:tcPr>
            <w:tcW w:w="1696" w:type="dxa"/>
          </w:tcPr>
          <w:p w14:paraId="7F82658F"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2019/2020</w:t>
            </w:r>
          </w:p>
        </w:tc>
        <w:tc>
          <w:tcPr>
            <w:tcW w:w="2835" w:type="dxa"/>
          </w:tcPr>
          <w:p w14:paraId="487F248C"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2.3</w:t>
            </w:r>
          </w:p>
        </w:tc>
      </w:tr>
      <w:tr w:rsidR="00C62CC6" w:rsidRPr="00E26601" w14:paraId="768E514E" w14:textId="77777777" w:rsidTr="007A76AC">
        <w:trPr>
          <w:jc w:val="center"/>
        </w:trPr>
        <w:tc>
          <w:tcPr>
            <w:tcW w:w="1696" w:type="dxa"/>
          </w:tcPr>
          <w:p w14:paraId="208D757F"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2018/2019</w:t>
            </w:r>
          </w:p>
        </w:tc>
        <w:tc>
          <w:tcPr>
            <w:tcW w:w="2835" w:type="dxa"/>
          </w:tcPr>
          <w:p w14:paraId="6DE147D9"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2.4</w:t>
            </w:r>
          </w:p>
        </w:tc>
      </w:tr>
      <w:tr w:rsidR="00C62CC6" w:rsidRPr="00E26601" w14:paraId="70FB0717" w14:textId="77777777" w:rsidTr="007A76AC">
        <w:trPr>
          <w:jc w:val="center"/>
        </w:trPr>
        <w:tc>
          <w:tcPr>
            <w:tcW w:w="1696" w:type="dxa"/>
          </w:tcPr>
          <w:p w14:paraId="4CD218BE"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2017/2018</w:t>
            </w:r>
          </w:p>
        </w:tc>
        <w:tc>
          <w:tcPr>
            <w:tcW w:w="2835" w:type="dxa"/>
          </w:tcPr>
          <w:p w14:paraId="330C1128"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w:t>
            </w:r>
          </w:p>
        </w:tc>
      </w:tr>
      <w:tr w:rsidR="00C62CC6" w:rsidRPr="00E26601" w14:paraId="5471A2FD" w14:textId="77777777" w:rsidTr="007A76AC">
        <w:trPr>
          <w:jc w:val="center"/>
        </w:trPr>
        <w:tc>
          <w:tcPr>
            <w:tcW w:w="1696" w:type="dxa"/>
          </w:tcPr>
          <w:p w14:paraId="694BFC35"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2016/2017</w:t>
            </w:r>
          </w:p>
        </w:tc>
        <w:tc>
          <w:tcPr>
            <w:tcW w:w="2835" w:type="dxa"/>
          </w:tcPr>
          <w:p w14:paraId="23176B07"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w:t>
            </w:r>
          </w:p>
        </w:tc>
      </w:tr>
      <w:tr w:rsidR="00C62CC6" w:rsidRPr="00E26601" w14:paraId="3C8CD972" w14:textId="77777777" w:rsidTr="007A76AC">
        <w:trPr>
          <w:jc w:val="center"/>
        </w:trPr>
        <w:tc>
          <w:tcPr>
            <w:tcW w:w="1696" w:type="dxa"/>
          </w:tcPr>
          <w:p w14:paraId="2686ADA3"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2015/2016</w:t>
            </w:r>
          </w:p>
        </w:tc>
        <w:tc>
          <w:tcPr>
            <w:tcW w:w="2835" w:type="dxa"/>
          </w:tcPr>
          <w:p w14:paraId="17C00502"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w:t>
            </w:r>
          </w:p>
        </w:tc>
      </w:tr>
      <w:tr w:rsidR="00C62CC6" w:rsidRPr="00E26601" w14:paraId="510467EC" w14:textId="77777777" w:rsidTr="007A76AC">
        <w:trPr>
          <w:jc w:val="center"/>
        </w:trPr>
        <w:tc>
          <w:tcPr>
            <w:tcW w:w="1696" w:type="dxa"/>
          </w:tcPr>
          <w:p w14:paraId="027EBB57"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2014/2015</w:t>
            </w:r>
          </w:p>
        </w:tc>
        <w:tc>
          <w:tcPr>
            <w:tcW w:w="2835" w:type="dxa"/>
          </w:tcPr>
          <w:p w14:paraId="52E5B2AD"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1.2</w:t>
            </w:r>
          </w:p>
        </w:tc>
      </w:tr>
      <w:tr w:rsidR="00C62CC6" w:rsidRPr="00E26601" w14:paraId="40ED43BF" w14:textId="77777777" w:rsidTr="007A76AC">
        <w:trPr>
          <w:jc w:val="center"/>
        </w:trPr>
        <w:tc>
          <w:tcPr>
            <w:tcW w:w="1696" w:type="dxa"/>
          </w:tcPr>
          <w:p w14:paraId="3113A7BF"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2013/2014</w:t>
            </w:r>
          </w:p>
        </w:tc>
        <w:tc>
          <w:tcPr>
            <w:tcW w:w="2835" w:type="dxa"/>
          </w:tcPr>
          <w:p w14:paraId="5A170A26"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1.8</w:t>
            </w:r>
          </w:p>
        </w:tc>
      </w:tr>
      <w:tr w:rsidR="00C62CC6" w:rsidRPr="00E26601" w14:paraId="0E6773A4" w14:textId="77777777" w:rsidTr="007A76AC">
        <w:trPr>
          <w:jc w:val="center"/>
        </w:trPr>
        <w:tc>
          <w:tcPr>
            <w:tcW w:w="1696" w:type="dxa"/>
          </w:tcPr>
          <w:p w14:paraId="694CDE76"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2012/2013</w:t>
            </w:r>
          </w:p>
        </w:tc>
        <w:tc>
          <w:tcPr>
            <w:tcW w:w="2835" w:type="dxa"/>
          </w:tcPr>
          <w:p w14:paraId="44FF3A2C"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1.2</w:t>
            </w:r>
          </w:p>
        </w:tc>
      </w:tr>
      <w:tr w:rsidR="00C62CC6" w:rsidRPr="00E26601" w14:paraId="3FB4FAED" w14:textId="77777777" w:rsidTr="007A76AC">
        <w:trPr>
          <w:jc w:val="center"/>
        </w:trPr>
        <w:tc>
          <w:tcPr>
            <w:tcW w:w="1696" w:type="dxa"/>
          </w:tcPr>
          <w:p w14:paraId="31CC2342"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2011/2012</w:t>
            </w:r>
          </w:p>
        </w:tc>
        <w:tc>
          <w:tcPr>
            <w:tcW w:w="2835" w:type="dxa"/>
          </w:tcPr>
          <w:p w14:paraId="7F717C28"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1.0</w:t>
            </w:r>
          </w:p>
        </w:tc>
      </w:tr>
      <w:tr w:rsidR="00C62CC6" w:rsidRPr="00E26601" w14:paraId="7627367C" w14:textId="77777777" w:rsidTr="007A76AC">
        <w:trPr>
          <w:jc w:val="center"/>
        </w:trPr>
        <w:tc>
          <w:tcPr>
            <w:tcW w:w="1696" w:type="dxa"/>
          </w:tcPr>
          <w:p w14:paraId="1D0B1B42"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2010/2011</w:t>
            </w:r>
          </w:p>
        </w:tc>
        <w:tc>
          <w:tcPr>
            <w:tcW w:w="2835" w:type="dxa"/>
          </w:tcPr>
          <w:p w14:paraId="4E217F8E"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1.2</w:t>
            </w:r>
          </w:p>
        </w:tc>
      </w:tr>
      <w:tr w:rsidR="00C62CC6" w:rsidRPr="00E26601" w14:paraId="6ECB7403" w14:textId="77777777" w:rsidTr="007A76AC">
        <w:trPr>
          <w:jc w:val="center"/>
        </w:trPr>
        <w:tc>
          <w:tcPr>
            <w:tcW w:w="1696" w:type="dxa"/>
          </w:tcPr>
          <w:p w14:paraId="59623353"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2009/2010</w:t>
            </w:r>
          </w:p>
        </w:tc>
        <w:tc>
          <w:tcPr>
            <w:tcW w:w="2835" w:type="dxa"/>
          </w:tcPr>
          <w:p w14:paraId="2757CFCB" w14:textId="77777777" w:rsidR="00C62CC6" w:rsidRPr="00E26601" w:rsidRDefault="00C62CC6" w:rsidP="007A76AC">
            <w:pPr>
              <w:jc w:val="center"/>
              <w:rPr>
                <w:rFonts w:ascii="Arial" w:hAnsi="Arial" w:cs="Arial"/>
                <w:sz w:val="24"/>
                <w:szCs w:val="24"/>
              </w:rPr>
            </w:pPr>
            <w:r w:rsidRPr="00E26601">
              <w:rPr>
                <w:rFonts w:ascii="Arial" w:hAnsi="Arial" w:cs="Arial"/>
                <w:sz w:val="24"/>
                <w:szCs w:val="24"/>
              </w:rPr>
              <w:t>1.0</w:t>
            </w:r>
          </w:p>
        </w:tc>
      </w:tr>
    </w:tbl>
    <w:p w14:paraId="0E2E8C0E" w14:textId="77777777" w:rsidR="00C62CC6" w:rsidRPr="00B20841" w:rsidRDefault="00C62CC6" w:rsidP="00C62CC6">
      <w:pPr>
        <w:rPr>
          <w:rFonts w:ascii="Arial" w:hAnsi="Arial" w:cs="Arial"/>
          <w:i/>
          <w:iCs/>
          <w:sz w:val="18"/>
          <w:szCs w:val="18"/>
        </w:rPr>
      </w:pPr>
      <w:r w:rsidRPr="00B20841">
        <w:rPr>
          <w:rFonts w:ascii="Arial" w:hAnsi="Arial" w:cs="Arial"/>
          <w:i/>
          <w:iCs/>
          <w:sz w:val="18"/>
          <w:szCs w:val="18"/>
        </w:rPr>
        <w:t>Source: NG ESO’s Winter Review and Consultation reports and National Grid ESO Power Response Demand Side Flexibility Report 2019.</w:t>
      </w:r>
    </w:p>
    <w:p w14:paraId="1F51D679" w14:textId="5E82CB36" w:rsidR="00AE2188" w:rsidRPr="00A05B9B" w:rsidRDefault="00C47140" w:rsidP="00A05B9B">
      <w:pPr>
        <w:pStyle w:val="ListParagraph"/>
        <w:numPr>
          <w:ilvl w:val="0"/>
          <w:numId w:val="2"/>
        </w:numPr>
        <w:rPr>
          <w:rFonts w:ascii="Arial" w:hAnsi="Arial" w:cs="Arial"/>
          <w:sz w:val="24"/>
          <w:szCs w:val="24"/>
        </w:rPr>
      </w:pPr>
      <w:r w:rsidRPr="00A05B9B">
        <w:rPr>
          <w:rFonts w:ascii="Arial" w:hAnsi="Arial" w:cs="Arial"/>
          <w:sz w:val="24"/>
          <w:szCs w:val="24"/>
        </w:rPr>
        <w:t>However, Ofgem has</w:t>
      </w:r>
      <w:r w:rsidR="00F46CFB" w:rsidRPr="00A05B9B">
        <w:rPr>
          <w:rFonts w:ascii="Arial" w:hAnsi="Arial" w:cs="Arial"/>
          <w:sz w:val="24"/>
          <w:szCs w:val="24"/>
        </w:rPr>
        <w:t xml:space="preserve"> significantly</w:t>
      </w:r>
      <w:r w:rsidRPr="00A05B9B">
        <w:rPr>
          <w:rFonts w:ascii="Arial" w:hAnsi="Arial" w:cs="Arial"/>
          <w:sz w:val="24"/>
          <w:szCs w:val="24"/>
        </w:rPr>
        <w:t xml:space="preserve"> </w:t>
      </w:r>
      <w:r w:rsidR="00B35225" w:rsidRPr="00A05B9B">
        <w:rPr>
          <w:rFonts w:ascii="Arial" w:hAnsi="Arial" w:cs="Arial"/>
          <w:sz w:val="24"/>
          <w:szCs w:val="24"/>
        </w:rPr>
        <w:t>reduced the triad’s financial incentive as part of its targeted charging review</w:t>
      </w:r>
      <w:r w:rsidR="00F46CFB" w:rsidRPr="00A05B9B">
        <w:rPr>
          <w:rFonts w:ascii="Arial" w:hAnsi="Arial" w:cs="Arial"/>
          <w:sz w:val="24"/>
          <w:szCs w:val="24"/>
        </w:rPr>
        <w:t xml:space="preserve"> to the extent that large demand users have little </w:t>
      </w:r>
      <w:r w:rsidR="00062D52" w:rsidRPr="00A05B9B">
        <w:rPr>
          <w:rFonts w:ascii="Arial" w:hAnsi="Arial" w:cs="Arial"/>
          <w:sz w:val="24"/>
          <w:szCs w:val="24"/>
        </w:rPr>
        <w:t xml:space="preserve">incentive to reduce demand on the grid at peak times. </w:t>
      </w:r>
      <w:r w:rsidR="008F2F15">
        <w:rPr>
          <w:rFonts w:ascii="Arial" w:hAnsi="Arial" w:cs="Arial"/>
          <w:sz w:val="24"/>
          <w:szCs w:val="24"/>
        </w:rPr>
        <w:t xml:space="preserve">Furthermore, as the TCR </w:t>
      </w:r>
      <w:r w:rsidR="003B7C7E">
        <w:rPr>
          <w:rFonts w:ascii="Arial" w:hAnsi="Arial" w:cs="Arial"/>
          <w:sz w:val="24"/>
          <w:szCs w:val="24"/>
        </w:rPr>
        <w:t xml:space="preserve">changed the methodology to allocate </w:t>
      </w:r>
      <w:proofErr w:type="spellStart"/>
      <w:r w:rsidR="003B7C7E">
        <w:rPr>
          <w:rFonts w:ascii="Arial" w:hAnsi="Arial" w:cs="Arial"/>
          <w:sz w:val="24"/>
          <w:szCs w:val="24"/>
        </w:rPr>
        <w:t>TNUoS</w:t>
      </w:r>
      <w:proofErr w:type="spellEnd"/>
      <w:r w:rsidR="003B7C7E">
        <w:rPr>
          <w:rFonts w:ascii="Arial" w:hAnsi="Arial" w:cs="Arial"/>
          <w:sz w:val="24"/>
          <w:szCs w:val="24"/>
        </w:rPr>
        <w:t xml:space="preserve"> charges – and together with changes to </w:t>
      </w:r>
      <w:proofErr w:type="spellStart"/>
      <w:r w:rsidR="003B7C7E">
        <w:rPr>
          <w:rFonts w:ascii="Arial" w:hAnsi="Arial" w:cs="Arial"/>
          <w:sz w:val="24"/>
          <w:szCs w:val="24"/>
        </w:rPr>
        <w:t>BSUoS</w:t>
      </w:r>
      <w:proofErr w:type="spellEnd"/>
      <w:r w:rsidR="003B7C7E">
        <w:rPr>
          <w:rFonts w:ascii="Arial" w:hAnsi="Arial" w:cs="Arial"/>
          <w:sz w:val="24"/>
          <w:szCs w:val="24"/>
        </w:rPr>
        <w:t xml:space="preserve"> charges - </w:t>
      </w:r>
      <w:r w:rsidR="003B7C7E" w:rsidRPr="003B7C7E">
        <w:rPr>
          <w:rFonts w:ascii="Arial" w:hAnsi="Arial" w:cs="Arial"/>
          <w:sz w:val="24"/>
          <w:szCs w:val="24"/>
        </w:rPr>
        <w:t xml:space="preserve">steel producers </w:t>
      </w:r>
      <w:r w:rsidR="001276D0">
        <w:rPr>
          <w:rFonts w:ascii="Arial" w:hAnsi="Arial" w:cs="Arial"/>
          <w:sz w:val="24"/>
          <w:szCs w:val="24"/>
        </w:rPr>
        <w:t xml:space="preserve">who </w:t>
      </w:r>
      <w:r w:rsidR="003B7C7E" w:rsidRPr="003B7C7E">
        <w:rPr>
          <w:rFonts w:ascii="Arial" w:hAnsi="Arial" w:cs="Arial"/>
          <w:sz w:val="24"/>
          <w:szCs w:val="24"/>
        </w:rPr>
        <w:t>previously paid around £10/MWh</w:t>
      </w:r>
      <w:r w:rsidR="001276D0">
        <w:rPr>
          <w:rFonts w:ascii="Arial" w:hAnsi="Arial" w:cs="Arial"/>
          <w:sz w:val="24"/>
          <w:szCs w:val="24"/>
        </w:rPr>
        <w:t xml:space="preserve"> in network charges now </w:t>
      </w:r>
      <w:r w:rsidR="001A3F77">
        <w:rPr>
          <w:rFonts w:ascii="Arial" w:hAnsi="Arial" w:cs="Arial"/>
          <w:sz w:val="24"/>
          <w:szCs w:val="24"/>
        </w:rPr>
        <w:t xml:space="preserve">pay </w:t>
      </w:r>
      <w:r w:rsidR="003B7C7E" w:rsidRPr="003B7C7E">
        <w:rPr>
          <w:rFonts w:ascii="Arial" w:hAnsi="Arial" w:cs="Arial"/>
          <w:sz w:val="24"/>
          <w:szCs w:val="24"/>
        </w:rPr>
        <w:t>up to £30/MWh</w:t>
      </w:r>
      <w:r w:rsidR="001A3F77">
        <w:rPr>
          <w:rFonts w:ascii="Arial" w:hAnsi="Arial" w:cs="Arial"/>
          <w:sz w:val="24"/>
          <w:szCs w:val="24"/>
        </w:rPr>
        <w:t xml:space="preserve"> in network charges which is </w:t>
      </w:r>
      <w:r w:rsidR="003B7C7E" w:rsidRPr="003B7C7E">
        <w:rPr>
          <w:rFonts w:ascii="Arial" w:hAnsi="Arial" w:cs="Arial"/>
          <w:sz w:val="24"/>
          <w:szCs w:val="24"/>
        </w:rPr>
        <w:t>substantially higher than the £0.5-1/MWh paid in France and German</w:t>
      </w:r>
      <w:r w:rsidR="001A3F77">
        <w:rPr>
          <w:rFonts w:ascii="Arial" w:hAnsi="Arial" w:cs="Arial"/>
          <w:sz w:val="24"/>
          <w:szCs w:val="24"/>
        </w:rPr>
        <w:t xml:space="preserve">y, according to UK Steel’s </w:t>
      </w:r>
      <w:r w:rsidR="00030F3E">
        <w:rPr>
          <w:rFonts w:ascii="Arial" w:hAnsi="Arial" w:cs="Arial"/>
          <w:sz w:val="24"/>
          <w:szCs w:val="24"/>
        </w:rPr>
        <w:t xml:space="preserve">latest </w:t>
      </w:r>
      <w:hyperlink r:id="rId12" w:history="1">
        <w:r w:rsidR="001A3F77" w:rsidRPr="003B53E5">
          <w:rPr>
            <w:rStyle w:val="Hyperlink"/>
            <w:rFonts w:ascii="Arial" w:hAnsi="Arial" w:cs="Arial"/>
            <w:sz w:val="24"/>
            <w:szCs w:val="24"/>
          </w:rPr>
          <w:t>report</w:t>
        </w:r>
      </w:hyperlink>
      <w:r w:rsidR="001A3F77">
        <w:rPr>
          <w:rFonts w:ascii="Arial" w:hAnsi="Arial" w:cs="Arial"/>
          <w:sz w:val="24"/>
          <w:szCs w:val="24"/>
        </w:rPr>
        <w:t xml:space="preserve"> </w:t>
      </w:r>
      <w:r w:rsidR="00030F3E">
        <w:rPr>
          <w:rFonts w:ascii="Arial" w:hAnsi="Arial" w:cs="Arial"/>
          <w:sz w:val="24"/>
          <w:szCs w:val="24"/>
        </w:rPr>
        <w:t xml:space="preserve">on industrial electricity prices. </w:t>
      </w:r>
      <w:r w:rsidR="00F92F2E">
        <w:rPr>
          <w:rFonts w:ascii="Arial" w:hAnsi="Arial" w:cs="Arial"/>
          <w:sz w:val="24"/>
          <w:szCs w:val="24"/>
        </w:rPr>
        <w:t xml:space="preserve">Government has introduced a compensation scheme </w:t>
      </w:r>
      <w:r w:rsidR="003F5CD0">
        <w:rPr>
          <w:rFonts w:ascii="Arial" w:hAnsi="Arial" w:cs="Arial"/>
          <w:sz w:val="24"/>
          <w:szCs w:val="24"/>
        </w:rPr>
        <w:t xml:space="preserve">of up to 60% </w:t>
      </w:r>
      <w:r w:rsidR="00F92F2E">
        <w:rPr>
          <w:rFonts w:ascii="Arial" w:hAnsi="Arial" w:cs="Arial"/>
          <w:sz w:val="24"/>
          <w:szCs w:val="24"/>
        </w:rPr>
        <w:t>for the cost of network charges for eligible energy intensive industries</w:t>
      </w:r>
      <w:r w:rsidR="003F5CD0">
        <w:rPr>
          <w:rFonts w:ascii="Arial" w:hAnsi="Arial" w:cs="Arial"/>
          <w:sz w:val="24"/>
          <w:szCs w:val="24"/>
        </w:rPr>
        <w:t xml:space="preserve">, but the scheme does not bring down network charges to the level in those countries. </w:t>
      </w:r>
    </w:p>
    <w:p w14:paraId="451E2482" w14:textId="77777777" w:rsidR="00A05B9B" w:rsidRDefault="00A05B9B" w:rsidP="00A05B9B">
      <w:pPr>
        <w:pStyle w:val="ListParagraph"/>
        <w:ind w:left="360"/>
        <w:rPr>
          <w:rFonts w:ascii="Arial" w:hAnsi="Arial" w:cs="Arial"/>
          <w:sz w:val="24"/>
          <w:szCs w:val="24"/>
        </w:rPr>
      </w:pPr>
    </w:p>
    <w:p w14:paraId="112B38C2" w14:textId="5ABAC2E3" w:rsidR="00E73E6D" w:rsidRPr="00A05B9B" w:rsidRDefault="00E73E6D"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NESO’s demand flexibility service (DFS) has not </w:t>
      </w:r>
      <w:r w:rsidR="00195F4C" w:rsidRPr="00A05B9B">
        <w:rPr>
          <w:rFonts w:ascii="Arial" w:hAnsi="Arial" w:cs="Arial"/>
          <w:sz w:val="24"/>
          <w:szCs w:val="24"/>
        </w:rPr>
        <w:t xml:space="preserve">replaced this capacity reduction. Also, it has a different objective: DFS focusses on operational security of supply and </w:t>
      </w:r>
      <w:r w:rsidR="007E2B4F" w:rsidRPr="00A05B9B">
        <w:rPr>
          <w:rFonts w:ascii="Arial" w:hAnsi="Arial" w:cs="Arial"/>
          <w:sz w:val="24"/>
          <w:szCs w:val="24"/>
        </w:rPr>
        <w:t>Triads focused on reducing peak demand to reduce inefficient</w:t>
      </w:r>
      <w:r w:rsidR="00F34486">
        <w:rPr>
          <w:rFonts w:ascii="Arial" w:hAnsi="Arial" w:cs="Arial"/>
          <w:sz w:val="24"/>
          <w:szCs w:val="24"/>
        </w:rPr>
        <w:t xml:space="preserve"> longer term</w:t>
      </w:r>
      <w:r w:rsidR="007E2B4F" w:rsidRPr="00A05B9B">
        <w:rPr>
          <w:rFonts w:ascii="Arial" w:hAnsi="Arial" w:cs="Arial"/>
          <w:sz w:val="24"/>
          <w:szCs w:val="24"/>
        </w:rPr>
        <w:t xml:space="preserve"> investment in network capacity. </w:t>
      </w:r>
    </w:p>
    <w:p w14:paraId="17A38635" w14:textId="77777777" w:rsidR="00A05B9B" w:rsidRDefault="00A05B9B" w:rsidP="00A05B9B">
      <w:pPr>
        <w:pStyle w:val="ListParagraph"/>
        <w:ind w:left="360"/>
        <w:rPr>
          <w:rFonts w:ascii="Arial" w:hAnsi="Arial" w:cs="Arial"/>
          <w:sz w:val="24"/>
          <w:szCs w:val="24"/>
        </w:rPr>
      </w:pPr>
    </w:p>
    <w:p w14:paraId="5F4DF307" w14:textId="5330F13D" w:rsidR="0084259D" w:rsidRPr="00A05B9B" w:rsidRDefault="0084259D"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Ofgem promised </w:t>
      </w:r>
      <w:r w:rsidR="007D2810" w:rsidRPr="00A05B9B">
        <w:rPr>
          <w:rFonts w:ascii="Arial" w:hAnsi="Arial" w:cs="Arial"/>
          <w:sz w:val="24"/>
          <w:szCs w:val="24"/>
        </w:rPr>
        <w:t xml:space="preserve">to </w:t>
      </w:r>
      <w:r w:rsidRPr="00A05B9B">
        <w:rPr>
          <w:rFonts w:ascii="Arial" w:hAnsi="Arial" w:cs="Arial"/>
          <w:sz w:val="24"/>
          <w:szCs w:val="24"/>
        </w:rPr>
        <w:t>replace the triad incentive</w:t>
      </w:r>
      <w:r w:rsidR="007D2810" w:rsidRPr="00A05B9B">
        <w:rPr>
          <w:rFonts w:ascii="Arial" w:hAnsi="Arial" w:cs="Arial"/>
          <w:sz w:val="24"/>
          <w:szCs w:val="24"/>
        </w:rPr>
        <w:t xml:space="preserve"> in some form during the TCR </w:t>
      </w:r>
      <w:r w:rsidR="00B620C0" w:rsidRPr="00A05B9B">
        <w:rPr>
          <w:rFonts w:ascii="Arial" w:hAnsi="Arial" w:cs="Arial"/>
          <w:sz w:val="24"/>
          <w:szCs w:val="24"/>
        </w:rPr>
        <w:t>regulatory process</w:t>
      </w:r>
      <w:r w:rsidRPr="00A05B9B">
        <w:rPr>
          <w:rFonts w:ascii="Arial" w:hAnsi="Arial" w:cs="Arial"/>
          <w:sz w:val="24"/>
          <w:szCs w:val="24"/>
        </w:rPr>
        <w:t xml:space="preserve"> as part of its </w:t>
      </w:r>
      <w:r w:rsidR="00673CAA" w:rsidRPr="00A05B9B">
        <w:rPr>
          <w:rFonts w:ascii="Arial" w:hAnsi="Arial" w:cs="Arial"/>
          <w:sz w:val="24"/>
          <w:szCs w:val="24"/>
        </w:rPr>
        <w:t>charging futures work programme</w:t>
      </w:r>
      <w:r w:rsidR="00B620C0" w:rsidRPr="00A05B9B">
        <w:rPr>
          <w:rFonts w:ascii="Arial" w:hAnsi="Arial" w:cs="Arial"/>
          <w:sz w:val="24"/>
          <w:szCs w:val="24"/>
        </w:rPr>
        <w:t xml:space="preserve">, but this has never materialised. </w:t>
      </w:r>
    </w:p>
    <w:p w14:paraId="39262768" w14:textId="77777777" w:rsidR="00A05B9B" w:rsidRDefault="00A05B9B" w:rsidP="00A05B9B">
      <w:pPr>
        <w:pStyle w:val="ListParagraph"/>
        <w:ind w:left="360"/>
        <w:rPr>
          <w:rFonts w:ascii="Arial" w:hAnsi="Arial" w:cs="Arial"/>
          <w:sz w:val="24"/>
          <w:szCs w:val="24"/>
        </w:rPr>
      </w:pPr>
    </w:p>
    <w:p w14:paraId="3C9AE010" w14:textId="242BA358" w:rsidR="0093205C" w:rsidRDefault="0093205C" w:rsidP="00A05B9B">
      <w:pPr>
        <w:pStyle w:val="ListParagraph"/>
        <w:numPr>
          <w:ilvl w:val="0"/>
          <w:numId w:val="2"/>
        </w:numPr>
        <w:rPr>
          <w:rFonts w:ascii="Arial" w:hAnsi="Arial" w:cs="Arial"/>
          <w:sz w:val="24"/>
          <w:szCs w:val="24"/>
        </w:rPr>
      </w:pPr>
      <w:r w:rsidRPr="00A05B9B">
        <w:rPr>
          <w:rFonts w:ascii="Arial" w:hAnsi="Arial" w:cs="Arial"/>
          <w:sz w:val="24"/>
          <w:szCs w:val="24"/>
        </w:rPr>
        <w:t xml:space="preserve">The EIUG and Major Energy Users Council </w:t>
      </w:r>
      <w:r w:rsidR="00AE3F3A" w:rsidRPr="00A05B9B">
        <w:rPr>
          <w:rFonts w:ascii="Arial" w:hAnsi="Arial" w:cs="Arial"/>
          <w:sz w:val="24"/>
          <w:szCs w:val="24"/>
        </w:rPr>
        <w:t xml:space="preserve">(MEUC) </w:t>
      </w:r>
      <w:r w:rsidRPr="00A05B9B">
        <w:rPr>
          <w:rFonts w:ascii="Arial" w:hAnsi="Arial" w:cs="Arial"/>
          <w:sz w:val="24"/>
          <w:szCs w:val="24"/>
        </w:rPr>
        <w:t xml:space="preserve">invited </w:t>
      </w:r>
      <w:r w:rsidR="00AE3F3A" w:rsidRPr="00A05B9B">
        <w:rPr>
          <w:rFonts w:ascii="Arial" w:hAnsi="Arial" w:cs="Arial"/>
          <w:sz w:val="24"/>
          <w:szCs w:val="24"/>
        </w:rPr>
        <w:t xml:space="preserve">NESO’s predecessor </w:t>
      </w:r>
      <w:r w:rsidRPr="00A05B9B">
        <w:rPr>
          <w:rFonts w:ascii="Arial" w:hAnsi="Arial" w:cs="Arial"/>
          <w:sz w:val="24"/>
          <w:szCs w:val="24"/>
        </w:rPr>
        <w:t xml:space="preserve">to discuss how best to capture the volume of triads that might be lost and reforming any of its DSR instruments so </w:t>
      </w:r>
      <w:r w:rsidR="00B9049D" w:rsidRPr="00A05B9B">
        <w:rPr>
          <w:rFonts w:ascii="Arial" w:hAnsi="Arial" w:cs="Arial"/>
          <w:sz w:val="24"/>
          <w:szCs w:val="24"/>
        </w:rPr>
        <w:t xml:space="preserve">industrial and commercial energy users </w:t>
      </w:r>
      <w:r w:rsidRPr="00A05B9B">
        <w:rPr>
          <w:rFonts w:ascii="Arial" w:hAnsi="Arial" w:cs="Arial"/>
          <w:sz w:val="24"/>
          <w:szCs w:val="24"/>
        </w:rPr>
        <w:t xml:space="preserve">can continue to support </w:t>
      </w:r>
      <w:r w:rsidR="00B4055B" w:rsidRPr="00A05B9B">
        <w:rPr>
          <w:rFonts w:ascii="Arial" w:hAnsi="Arial" w:cs="Arial"/>
          <w:sz w:val="24"/>
          <w:szCs w:val="24"/>
        </w:rPr>
        <w:t>it</w:t>
      </w:r>
      <w:r w:rsidRPr="00A05B9B">
        <w:rPr>
          <w:rFonts w:ascii="Arial" w:hAnsi="Arial" w:cs="Arial"/>
          <w:sz w:val="24"/>
          <w:szCs w:val="24"/>
        </w:rPr>
        <w:t xml:space="preserve"> in its ability to manage system operability and contain </w:t>
      </w:r>
      <w:r w:rsidR="00B4055B" w:rsidRPr="00A05B9B">
        <w:rPr>
          <w:rFonts w:ascii="Arial" w:hAnsi="Arial" w:cs="Arial"/>
          <w:sz w:val="24"/>
          <w:szCs w:val="24"/>
        </w:rPr>
        <w:t xml:space="preserve">network </w:t>
      </w:r>
      <w:r w:rsidRPr="00A05B9B">
        <w:rPr>
          <w:rFonts w:ascii="Arial" w:hAnsi="Arial" w:cs="Arial"/>
          <w:sz w:val="24"/>
          <w:szCs w:val="24"/>
        </w:rPr>
        <w:t>costs for all GB consumers.</w:t>
      </w:r>
    </w:p>
    <w:p w14:paraId="3FE79973" w14:textId="77777777" w:rsidR="0085708F" w:rsidRDefault="0085708F" w:rsidP="0085708F">
      <w:pPr>
        <w:pStyle w:val="ListParagraph"/>
        <w:rPr>
          <w:rFonts w:ascii="Arial" w:hAnsi="Arial" w:cs="Arial"/>
          <w:sz w:val="24"/>
          <w:szCs w:val="24"/>
        </w:rPr>
      </w:pPr>
    </w:p>
    <w:p w14:paraId="355B56B2" w14:textId="77777777" w:rsidR="008F1964" w:rsidRDefault="008F1964" w:rsidP="0085708F">
      <w:pPr>
        <w:pStyle w:val="ListParagraph"/>
        <w:rPr>
          <w:rFonts w:ascii="Arial" w:hAnsi="Arial" w:cs="Arial"/>
          <w:sz w:val="24"/>
          <w:szCs w:val="24"/>
        </w:rPr>
      </w:pPr>
    </w:p>
    <w:p w14:paraId="5471B093" w14:textId="77777777" w:rsidR="008F1964" w:rsidRPr="0085708F" w:rsidRDefault="008F1964" w:rsidP="0085708F">
      <w:pPr>
        <w:pStyle w:val="ListParagraph"/>
        <w:rPr>
          <w:rFonts w:ascii="Arial" w:hAnsi="Arial" w:cs="Arial"/>
          <w:sz w:val="24"/>
          <w:szCs w:val="24"/>
        </w:rPr>
      </w:pPr>
    </w:p>
    <w:p w14:paraId="7BFBA31D" w14:textId="33CBA0F8" w:rsidR="00B260DA" w:rsidRDefault="0083324A" w:rsidP="00B260DA">
      <w:pPr>
        <w:rPr>
          <w:rFonts w:ascii="Arial" w:hAnsi="Arial" w:cs="Arial"/>
          <w:sz w:val="24"/>
          <w:szCs w:val="24"/>
        </w:rPr>
      </w:pPr>
      <w:r w:rsidRPr="0083324A">
        <w:rPr>
          <w:rFonts w:ascii="Arial" w:hAnsi="Arial" w:cs="Arial"/>
          <w:b/>
          <w:bCs/>
          <w:i/>
          <w:iCs/>
          <w:sz w:val="24"/>
          <w:szCs w:val="24"/>
        </w:rPr>
        <w:lastRenderedPageBreak/>
        <w:t xml:space="preserve">Question </w:t>
      </w:r>
      <w:r w:rsidR="00823C69">
        <w:rPr>
          <w:rFonts w:ascii="Arial" w:hAnsi="Arial" w:cs="Arial"/>
          <w:b/>
          <w:bCs/>
          <w:i/>
          <w:iCs/>
          <w:sz w:val="24"/>
          <w:szCs w:val="24"/>
        </w:rPr>
        <w:t>7</w:t>
      </w:r>
      <w:r w:rsidRPr="0083324A">
        <w:rPr>
          <w:rFonts w:ascii="Arial" w:hAnsi="Arial" w:cs="Arial"/>
          <w:b/>
          <w:bCs/>
          <w:i/>
          <w:iCs/>
          <w:sz w:val="24"/>
          <w:szCs w:val="24"/>
        </w:rPr>
        <w:t>:</w:t>
      </w:r>
      <w:r w:rsidR="00B260DA" w:rsidRPr="00B260DA">
        <w:rPr>
          <w:rFonts w:ascii="Arial" w:hAnsi="Arial" w:cs="Arial"/>
          <w:b/>
          <w:bCs/>
          <w:i/>
          <w:iCs/>
          <w:sz w:val="24"/>
          <w:szCs w:val="24"/>
        </w:rPr>
        <w:t xml:space="preserve"> What incentives need to be introduced to encourage generation and energy demand to locate closer to one another? Should this be done through locational pricing, and if not, should network charges be reformed to provide these incentives?</w:t>
      </w:r>
      <w:r w:rsidR="00B260DA">
        <w:rPr>
          <w:rFonts w:ascii="Arial" w:hAnsi="Arial" w:cs="Arial"/>
          <w:b/>
          <w:bCs/>
          <w:i/>
          <w:iCs/>
          <w:sz w:val="24"/>
          <w:szCs w:val="24"/>
        </w:rPr>
        <w:t xml:space="preserve"> </w:t>
      </w:r>
    </w:p>
    <w:p w14:paraId="4A59DF94" w14:textId="4B44A3B5" w:rsidR="00791DF8" w:rsidRPr="00823C69" w:rsidRDefault="00EE7107" w:rsidP="00823C69">
      <w:pPr>
        <w:pStyle w:val="ListParagraph"/>
        <w:numPr>
          <w:ilvl w:val="0"/>
          <w:numId w:val="2"/>
        </w:numPr>
        <w:rPr>
          <w:rFonts w:ascii="Arial" w:hAnsi="Arial" w:cs="Arial"/>
          <w:sz w:val="24"/>
          <w:szCs w:val="24"/>
        </w:rPr>
      </w:pPr>
      <w:r w:rsidRPr="00823C69">
        <w:rPr>
          <w:rFonts w:ascii="Arial" w:hAnsi="Arial" w:cs="Arial"/>
          <w:sz w:val="24"/>
          <w:szCs w:val="24"/>
        </w:rPr>
        <w:t>The EIUG recognises the need for reform of electricity market arrangements to address increasing constraint and network costs, as a result of moving towards a more renewables-based system. However, whether introducing zonal pricing is the best option is not clear and might increase electricity prices for energy intensive industries, depending on the zone and assumptions about cost of capital.</w:t>
      </w:r>
    </w:p>
    <w:p w14:paraId="2EB3619C" w14:textId="77777777" w:rsidR="00823C69" w:rsidRDefault="00823C69" w:rsidP="00823C69">
      <w:pPr>
        <w:pStyle w:val="ListParagraph"/>
        <w:ind w:left="360"/>
        <w:rPr>
          <w:rFonts w:ascii="Arial" w:hAnsi="Arial" w:cs="Arial"/>
          <w:sz w:val="24"/>
          <w:szCs w:val="24"/>
        </w:rPr>
      </w:pPr>
    </w:p>
    <w:p w14:paraId="08B42873" w14:textId="2C9EA9C2" w:rsidR="003E11D2" w:rsidRPr="00823C69" w:rsidRDefault="00B27317"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There is currently no </w:t>
      </w:r>
      <w:r w:rsidR="00A53EF7">
        <w:rPr>
          <w:rFonts w:ascii="Arial" w:hAnsi="Arial" w:cs="Arial"/>
          <w:sz w:val="24"/>
          <w:szCs w:val="24"/>
        </w:rPr>
        <w:t xml:space="preserve">recent </w:t>
      </w:r>
      <w:r w:rsidRPr="00823C69">
        <w:rPr>
          <w:rFonts w:ascii="Arial" w:hAnsi="Arial" w:cs="Arial"/>
          <w:sz w:val="24"/>
          <w:szCs w:val="24"/>
        </w:rPr>
        <w:t xml:space="preserve">economic analysis or good understanding about how </w:t>
      </w:r>
      <w:r w:rsidR="00C67568" w:rsidRPr="00823C69">
        <w:rPr>
          <w:rFonts w:ascii="Arial" w:hAnsi="Arial" w:cs="Arial"/>
          <w:sz w:val="24"/>
          <w:szCs w:val="24"/>
        </w:rPr>
        <w:t xml:space="preserve">locational pricing, including </w:t>
      </w:r>
      <w:r w:rsidRPr="00823C69">
        <w:rPr>
          <w:rFonts w:ascii="Arial" w:hAnsi="Arial" w:cs="Arial"/>
          <w:sz w:val="24"/>
          <w:szCs w:val="24"/>
        </w:rPr>
        <w:t>zonal pricing</w:t>
      </w:r>
      <w:r w:rsidR="00C67568" w:rsidRPr="00823C69">
        <w:rPr>
          <w:rFonts w:ascii="Arial" w:hAnsi="Arial" w:cs="Arial"/>
          <w:sz w:val="24"/>
          <w:szCs w:val="24"/>
        </w:rPr>
        <w:t>,</w:t>
      </w:r>
      <w:r w:rsidRPr="00823C69">
        <w:rPr>
          <w:rFonts w:ascii="Arial" w:hAnsi="Arial" w:cs="Arial"/>
          <w:sz w:val="24"/>
          <w:szCs w:val="24"/>
        </w:rPr>
        <w:t xml:space="preserve"> might directly impact energy intensive industries. A short EIUG poll of its members show</w:t>
      </w:r>
      <w:r w:rsidR="007C746D" w:rsidRPr="00823C69">
        <w:rPr>
          <w:rFonts w:ascii="Arial" w:hAnsi="Arial" w:cs="Arial"/>
          <w:sz w:val="24"/>
          <w:szCs w:val="24"/>
        </w:rPr>
        <w:t>ed</w:t>
      </w:r>
      <w:r w:rsidRPr="00823C69">
        <w:rPr>
          <w:rFonts w:ascii="Arial" w:hAnsi="Arial" w:cs="Arial"/>
          <w:sz w:val="24"/>
          <w:szCs w:val="24"/>
        </w:rPr>
        <w:t xml:space="preserve"> that there are other variables, such as access to raw resources, electricity network connection and good transport infrastructure, that determine the location of investments as well</w:t>
      </w:r>
      <w:r w:rsidR="00AC1CCF" w:rsidRPr="00823C69">
        <w:rPr>
          <w:rFonts w:ascii="Arial" w:hAnsi="Arial" w:cs="Arial"/>
          <w:sz w:val="24"/>
          <w:szCs w:val="24"/>
        </w:rPr>
        <w:t>,</w:t>
      </w:r>
      <w:r w:rsidRPr="00823C69">
        <w:rPr>
          <w:rFonts w:ascii="Arial" w:hAnsi="Arial" w:cs="Arial"/>
          <w:sz w:val="24"/>
          <w:szCs w:val="24"/>
        </w:rPr>
        <w:t xml:space="preserve"> instead of only electricity prices</w:t>
      </w:r>
      <w:r w:rsidR="00AC1CCF" w:rsidRPr="00823C69">
        <w:rPr>
          <w:rFonts w:ascii="Arial" w:hAnsi="Arial" w:cs="Arial"/>
          <w:sz w:val="24"/>
          <w:szCs w:val="24"/>
        </w:rPr>
        <w:t>, let alone a locational signal as part of the electricity price</w:t>
      </w:r>
      <w:r w:rsidRPr="00823C69">
        <w:rPr>
          <w:rFonts w:ascii="Arial" w:hAnsi="Arial" w:cs="Arial"/>
          <w:sz w:val="24"/>
          <w:szCs w:val="24"/>
        </w:rPr>
        <w:t>.</w:t>
      </w:r>
    </w:p>
    <w:p w14:paraId="21085907" w14:textId="77777777" w:rsidR="00823C69" w:rsidRDefault="00823C69" w:rsidP="00823C69">
      <w:pPr>
        <w:pStyle w:val="ListParagraph"/>
        <w:ind w:left="360"/>
        <w:rPr>
          <w:rFonts w:ascii="Arial" w:hAnsi="Arial" w:cs="Arial"/>
          <w:sz w:val="24"/>
          <w:szCs w:val="24"/>
        </w:rPr>
      </w:pPr>
    </w:p>
    <w:p w14:paraId="0E3E1D17" w14:textId="5E79FE9F" w:rsidR="005D69FB" w:rsidRDefault="0007293E" w:rsidP="005D69FB">
      <w:pPr>
        <w:pStyle w:val="ListParagraph"/>
        <w:numPr>
          <w:ilvl w:val="0"/>
          <w:numId w:val="2"/>
        </w:numPr>
        <w:rPr>
          <w:rFonts w:ascii="Arial" w:hAnsi="Arial" w:cs="Arial"/>
          <w:sz w:val="24"/>
          <w:szCs w:val="24"/>
        </w:rPr>
      </w:pPr>
      <w:r w:rsidRPr="008F1964">
        <w:rPr>
          <w:rFonts w:ascii="Arial" w:hAnsi="Arial" w:cs="Arial"/>
          <w:sz w:val="24"/>
          <w:szCs w:val="24"/>
        </w:rPr>
        <w:t xml:space="preserve">The EIUG agrees with the recent UKERC </w:t>
      </w:r>
      <w:hyperlink r:id="rId13" w:anchor=":~:text=Locational%20signals%20are%20at%20the,assets%20connected%20to%20the%20network." w:history="1">
        <w:r w:rsidRPr="008F1964">
          <w:rPr>
            <w:rStyle w:val="Hyperlink"/>
            <w:rFonts w:ascii="Arial" w:hAnsi="Arial" w:cs="Arial"/>
            <w:sz w:val="24"/>
            <w:szCs w:val="24"/>
          </w:rPr>
          <w:t>work</w:t>
        </w:r>
        <w:r w:rsidR="00176B1C" w:rsidRPr="008F1964">
          <w:rPr>
            <w:rStyle w:val="Hyperlink"/>
            <w:rFonts w:ascii="Arial" w:hAnsi="Arial" w:cs="Arial"/>
            <w:sz w:val="24"/>
            <w:szCs w:val="24"/>
          </w:rPr>
          <w:t>ing paper</w:t>
        </w:r>
      </w:hyperlink>
      <w:r w:rsidR="00176B1C" w:rsidRPr="008F1964">
        <w:rPr>
          <w:rFonts w:ascii="Arial" w:hAnsi="Arial" w:cs="Arial"/>
          <w:sz w:val="24"/>
          <w:szCs w:val="24"/>
        </w:rPr>
        <w:t xml:space="preserve"> on locational signals in a reformed national market that </w:t>
      </w:r>
      <w:r w:rsidR="005D69FB" w:rsidRPr="008F1964">
        <w:rPr>
          <w:rFonts w:ascii="Arial" w:hAnsi="Arial" w:cs="Arial"/>
          <w:sz w:val="24"/>
          <w:szCs w:val="24"/>
        </w:rPr>
        <w:t>“</w:t>
      </w:r>
      <w:r w:rsidR="005D69FB" w:rsidRPr="008F1964">
        <w:rPr>
          <w:rFonts w:ascii="Arial" w:hAnsi="Arial" w:cs="Arial"/>
          <w:i/>
          <w:iCs/>
          <w:sz w:val="24"/>
          <w:szCs w:val="24"/>
        </w:rPr>
        <w:t>there is a strong case to consider the full range of factors that might provide opportunities to enhance locational signals. The regulatory, market and policy context as a whole is what affects market participants' risks and revenues, and hence investment and operational decisions</w:t>
      </w:r>
      <w:r w:rsidR="00B526BA" w:rsidRPr="008F1964">
        <w:rPr>
          <w:rFonts w:ascii="Arial" w:hAnsi="Arial" w:cs="Arial"/>
          <w:i/>
          <w:iCs/>
          <w:sz w:val="24"/>
          <w:szCs w:val="24"/>
        </w:rPr>
        <w:t>.</w:t>
      </w:r>
      <w:r w:rsidR="004D0087" w:rsidRPr="008F1964">
        <w:rPr>
          <w:rFonts w:ascii="Arial" w:hAnsi="Arial" w:cs="Arial"/>
          <w:i/>
          <w:iCs/>
          <w:sz w:val="24"/>
          <w:szCs w:val="24"/>
        </w:rPr>
        <w:t xml:space="preserve"> </w:t>
      </w:r>
      <w:r w:rsidR="005D69FB" w:rsidRPr="008F1964">
        <w:rPr>
          <w:rFonts w:ascii="Arial" w:hAnsi="Arial" w:cs="Arial"/>
          <w:i/>
          <w:iCs/>
          <w:sz w:val="24"/>
          <w:szCs w:val="24"/>
        </w:rPr>
        <w:t xml:space="preserve">The feasibility and materiality of many options requires additional investigation, but the analysis presented in </w:t>
      </w:r>
      <w:r w:rsidR="00007827" w:rsidRPr="008F1964">
        <w:rPr>
          <w:rFonts w:ascii="Arial" w:hAnsi="Arial" w:cs="Arial"/>
          <w:i/>
          <w:iCs/>
          <w:sz w:val="24"/>
          <w:szCs w:val="24"/>
        </w:rPr>
        <w:t>[their]</w:t>
      </w:r>
      <w:r w:rsidR="005D69FB" w:rsidRPr="008F1964">
        <w:rPr>
          <w:rFonts w:ascii="Arial" w:hAnsi="Arial" w:cs="Arial"/>
          <w:i/>
          <w:iCs/>
          <w:sz w:val="24"/>
          <w:szCs w:val="24"/>
        </w:rPr>
        <w:t xml:space="preserve"> report demonstrates that there is a strong case for undertaking this additional work</w:t>
      </w:r>
      <w:r w:rsidR="004D0087" w:rsidRPr="008F1964">
        <w:rPr>
          <w:rFonts w:ascii="Arial" w:hAnsi="Arial" w:cs="Arial"/>
          <w:i/>
          <w:iCs/>
          <w:sz w:val="24"/>
          <w:szCs w:val="24"/>
        </w:rPr>
        <w:t xml:space="preserve">. </w:t>
      </w:r>
      <w:r w:rsidR="005D69FB" w:rsidRPr="008F1964">
        <w:rPr>
          <w:rFonts w:ascii="Arial" w:hAnsi="Arial" w:cs="Arial"/>
          <w:i/>
          <w:iCs/>
          <w:sz w:val="24"/>
          <w:szCs w:val="24"/>
        </w:rPr>
        <w:t>We are concerned that REMA has taken too narrow a view on what could be implemented as part of a reformed national market, and as the review moves through the next phase of assessment, the UK Government needs to broaden that perspective to ensure that the best possible reformed national market</w:t>
      </w:r>
      <w:r w:rsidR="005D69FB" w:rsidRPr="008F1964">
        <w:rPr>
          <w:rFonts w:ascii="Arial" w:hAnsi="Arial" w:cs="Arial"/>
          <w:sz w:val="24"/>
          <w:szCs w:val="24"/>
        </w:rPr>
        <w:t xml:space="preserve">”. </w:t>
      </w:r>
    </w:p>
    <w:p w14:paraId="69A55A06" w14:textId="77777777" w:rsidR="008F1964" w:rsidRPr="008F1964" w:rsidRDefault="008F1964" w:rsidP="008F1964">
      <w:pPr>
        <w:pStyle w:val="ListParagraph"/>
        <w:rPr>
          <w:rFonts w:ascii="Arial" w:hAnsi="Arial" w:cs="Arial"/>
          <w:sz w:val="24"/>
          <w:szCs w:val="24"/>
        </w:rPr>
      </w:pPr>
    </w:p>
    <w:p w14:paraId="12FC065A" w14:textId="4119CE4B" w:rsidR="003E11D2" w:rsidRPr="00823C69" w:rsidRDefault="00524099" w:rsidP="00823C69">
      <w:pPr>
        <w:pStyle w:val="ListParagraph"/>
        <w:numPr>
          <w:ilvl w:val="0"/>
          <w:numId w:val="2"/>
        </w:numPr>
        <w:rPr>
          <w:rFonts w:ascii="Arial" w:hAnsi="Arial" w:cs="Arial"/>
          <w:sz w:val="24"/>
          <w:szCs w:val="24"/>
        </w:rPr>
      </w:pPr>
      <w:r w:rsidRPr="00823C69">
        <w:rPr>
          <w:rFonts w:ascii="Arial" w:hAnsi="Arial" w:cs="Arial"/>
          <w:sz w:val="24"/>
          <w:szCs w:val="24"/>
        </w:rPr>
        <w:t>And additionally</w:t>
      </w:r>
      <w:r w:rsidR="00F6281C" w:rsidRPr="00823C69">
        <w:rPr>
          <w:rFonts w:ascii="Arial" w:hAnsi="Arial" w:cs="Arial"/>
          <w:sz w:val="24"/>
          <w:szCs w:val="24"/>
        </w:rPr>
        <w:t xml:space="preserve"> and importantly</w:t>
      </w:r>
      <w:r w:rsidR="005D69FB" w:rsidRPr="00823C69">
        <w:rPr>
          <w:rFonts w:ascii="Arial" w:hAnsi="Arial" w:cs="Arial"/>
          <w:sz w:val="24"/>
          <w:szCs w:val="24"/>
        </w:rPr>
        <w:t>: “</w:t>
      </w:r>
      <w:r w:rsidR="005D69FB" w:rsidRPr="00823C69">
        <w:rPr>
          <w:rFonts w:ascii="Arial" w:hAnsi="Arial" w:cs="Arial"/>
          <w:i/>
          <w:iCs/>
          <w:sz w:val="24"/>
          <w:szCs w:val="24"/>
        </w:rPr>
        <w:t>The purpose of any element of electricity market and system design must be to deliver overarching societal objectives. In a liberalised electricity system, objectives are achieved primarily by the combined action of market participants operating on a commercial, competitive basis. Therefore, locational signals should drive the behaviour of individual market participants in directions that support the delivery of societal objectives, [such as]: economic development, delivery of industrial strategies, regional development, etc</w:t>
      </w:r>
      <w:r w:rsidR="005D69FB" w:rsidRPr="00823C69">
        <w:rPr>
          <w:rFonts w:ascii="Arial" w:hAnsi="Arial" w:cs="Arial"/>
          <w:sz w:val="24"/>
          <w:szCs w:val="24"/>
        </w:rPr>
        <w:t xml:space="preserve">”. </w:t>
      </w:r>
    </w:p>
    <w:p w14:paraId="3479F9BC" w14:textId="77777777" w:rsidR="008F1964" w:rsidRPr="00623C14" w:rsidRDefault="008F1964" w:rsidP="00B260DA">
      <w:pPr>
        <w:rPr>
          <w:rFonts w:ascii="Arial" w:hAnsi="Arial" w:cs="Arial"/>
          <w:sz w:val="24"/>
          <w:szCs w:val="24"/>
        </w:rPr>
      </w:pPr>
    </w:p>
    <w:p w14:paraId="577C13D3" w14:textId="77777777" w:rsidR="00B260DA" w:rsidRDefault="00DD1640" w:rsidP="00B260DA">
      <w:pPr>
        <w:rPr>
          <w:rFonts w:ascii="Arial" w:hAnsi="Arial" w:cs="Arial"/>
          <w:b/>
          <w:bCs/>
          <w:i/>
          <w:iCs/>
          <w:sz w:val="24"/>
          <w:szCs w:val="24"/>
        </w:rPr>
      </w:pPr>
      <w:r w:rsidRPr="006016E0">
        <w:rPr>
          <w:rFonts w:ascii="Arial" w:hAnsi="Arial" w:cs="Arial"/>
          <w:b/>
          <w:bCs/>
          <w:i/>
          <w:iCs/>
          <w:sz w:val="24"/>
          <w:szCs w:val="24"/>
        </w:rPr>
        <w:t xml:space="preserve">Question </w:t>
      </w:r>
      <w:r w:rsidR="00B260DA" w:rsidRPr="00B260DA">
        <w:rPr>
          <w:rFonts w:ascii="Arial" w:hAnsi="Arial" w:cs="Arial"/>
          <w:b/>
          <w:bCs/>
          <w:i/>
          <w:iCs/>
          <w:sz w:val="24"/>
          <w:szCs w:val="24"/>
        </w:rPr>
        <w:t>8. What is your view of Ofgem’s proposals to require a higher standard of service to connection customers from distribution networks? Should there be a greater standardisation of application processes and connection deadlines, with compensation for customers if they are not met?</w:t>
      </w:r>
    </w:p>
    <w:p w14:paraId="50607436" w14:textId="699FA4F1" w:rsidR="00A7325F" w:rsidRPr="00823C69" w:rsidRDefault="006337B1" w:rsidP="00823C69">
      <w:pPr>
        <w:pStyle w:val="ListParagraph"/>
        <w:numPr>
          <w:ilvl w:val="0"/>
          <w:numId w:val="2"/>
        </w:numPr>
        <w:rPr>
          <w:rFonts w:ascii="Arial" w:hAnsi="Arial" w:cs="Arial"/>
          <w:sz w:val="24"/>
          <w:szCs w:val="24"/>
        </w:rPr>
      </w:pPr>
      <w:r w:rsidRPr="00823C69">
        <w:rPr>
          <w:rFonts w:ascii="Arial" w:hAnsi="Arial" w:cs="Arial"/>
          <w:sz w:val="24"/>
          <w:szCs w:val="24"/>
        </w:rPr>
        <w:lastRenderedPageBreak/>
        <w:t>The EIUG supports Ofgem’s proposals to require a higher standard of service</w:t>
      </w:r>
      <w:r w:rsidR="009A6836" w:rsidRPr="00823C69">
        <w:rPr>
          <w:rFonts w:ascii="Arial" w:hAnsi="Arial" w:cs="Arial"/>
          <w:sz w:val="24"/>
          <w:szCs w:val="24"/>
        </w:rPr>
        <w:t xml:space="preserve"> to connect customers from distribution networks. Anecdotal feedback </w:t>
      </w:r>
      <w:r w:rsidR="00F11AD5" w:rsidRPr="00823C69">
        <w:rPr>
          <w:rFonts w:ascii="Arial" w:hAnsi="Arial" w:cs="Arial"/>
          <w:sz w:val="24"/>
          <w:szCs w:val="24"/>
        </w:rPr>
        <w:t xml:space="preserve">from energy intensive industries is the different connection processes cause confusion. Some </w:t>
      </w:r>
      <w:r w:rsidR="00E84FBC" w:rsidRPr="00823C69">
        <w:rPr>
          <w:rFonts w:ascii="Arial" w:hAnsi="Arial" w:cs="Arial"/>
          <w:sz w:val="24"/>
          <w:szCs w:val="24"/>
        </w:rPr>
        <w:t xml:space="preserve">energy intensive industries have assets connected to different distribution network operators </w:t>
      </w:r>
      <w:r w:rsidR="00A7325F" w:rsidRPr="00823C69">
        <w:rPr>
          <w:rFonts w:ascii="Arial" w:hAnsi="Arial" w:cs="Arial"/>
          <w:sz w:val="24"/>
          <w:szCs w:val="24"/>
        </w:rPr>
        <w:t>and this they are confronted with different processes to change a connection.</w:t>
      </w:r>
      <w:r w:rsidR="00AA134F" w:rsidRPr="00823C69">
        <w:rPr>
          <w:rFonts w:ascii="Arial" w:hAnsi="Arial" w:cs="Arial"/>
          <w:sz w:val="24"/>
          <w:szCs w:val="24"/>
        </w:rPr>
        <w:t xml:space="preserve"> </w:t>
      </w:r>
      <w:r w:rsidR="005906B2" w:rsidRPr="00823C69">
        <w:rPr>
          <w:rFonts w:ascii="Arial" w:hAnsi="Arial" w:cs="Arial"/>
          <w:sz w:val="24"/>
          <w:szCs w:val="24"/>
        </w:rPr>
        <w:t xml:space="preserve">Standardisation will help. </w:t>
      </w:r>
    </w:p>
    <w:p w14:paraId="79281234" w14:textId="77777777" w:rsidR="00823C69" w:rsidRDefault="00823C69" w:rsidP="00823C69">
      <w:pPr>
        <w:pStyle w:val="ListParagraph"/>
        <w:ind w:left="360"/>
        <w:rPr>
          <w:rFonts w:ascii="Arial" w:hAnsi="Arial" w:cs="Arial"/>
          <w:sz w:val="24"/>
          <w:szCs w:val="24"/>
        </w:rPr>
      </w:pPr>
    </w:p>
    <w:p w14:paraId="08F46631" w14:textId="58EE4101" w:rsidR="00CC2247" w:rsidRPr="00823C69" w:rsidRDefault="00AA134F" w:rsidP="00823C69">
      <w:pPr>
        <w:pStyle w:val="ListParagraph"/>
        <w:numPr>
          <w:ilvl w:val="0"/>
          <w:numId w:val="2"/>
        </w:numPr>
        <w:rPr>
          <w:rFonts w:ascii="Arial" w:hAnsi="Arial" w:cs="Arial"/>
          <w:sz w:val="24"/>
          <w:szCs w:val="24"/>
        </w:rPr>
      </w:pPr>
      <w:r w:rsidRPr="00823C69">
        <w:rPr>
          <w:rFonts w:ascii="Arial" w:hAnsi="Arial" w:cs="Arial"/>
          <w:sz w:val="24"/>
          <w:szCs w:val="24"/>
        </w:rPr>
        <w:t>The EIUG is not sure whether compensation will help</w:t>
      </w:r>
      <w:r w:rsidR="00A443E3">
        <w:rPr>
          <w:rFonts w:ascii="Arial" w:hAnsi="Arial" w:cs="Arial"/>
          <w:sz w:val="24"/>
          <w:szCs w:val="24"/>
        </w:rPr>
        <w:t xml:space="preserve">, given the scale of associated </w:t>
      </w:r>
      <w:r w:rsidR="003F5CD0">
        <w:rPr>
          <w:rFonts w:ascii="Arial" w:hAnsi="Arial" w:cs="Arial"/>
          <w:sz w:val="24"/>
          <w:szCs w:val="24"/>
        </w:rPr>
        <w:t>decarbonisation</w:t>
      </w:r>
      <w:r w:rsidR="00A443E3">
        <w:rPr>
          <w:rFonts w:ascii="Arial" w:hAnsi="Arial" w:cs="Arial"/>
          <w:sz w:val="24"/>
          <w:szCs w:val="24"/>
        </w:rPr>
        <w:t xml:space="preserve"> investments, </w:t>
      </w:r>
      <w:r w:rsidR="0045169E" w:rsidRPr="00823C69">
        <w:rPr>
          <w:rFonts w:ascii="Arial" w:hAnsi="Arial" w:cs="Arial"/>
          <w:sz w:val="24"/>
          <w:szCs w:val="24"/>
        </w:rPr>
        <w:t xml:space="preserve">as clarity </w:t>
      </w:r>
      <w:r w:rsidR="000C4265" w:rsidRPr="00823C69">
        <w:rPr>
          <w:rFonts w:ascii="Arial" w:hAnsi="Arial" w:cs="Arial"/>
          <w:sz w:val="24"/>
          <w:szCs w:val="24"/>
        </w:rPr>
        <w:t xml:space="preserve">over the connection process with a clear connection deadline is key. This information will strengthen any internal business case to </w:t>
      </w:r>
      <w:r w:rsidR="00173ACD" w:rsidRPr="00823C69">
        <w:rPr>
          <w:rFonts w:ascii="Arial" w:hAnsi="Arial" w:cs="Arial"/>
          <w:sz w:val="24"/>
          <w:szCs w:val="24"/>
        </w:rPr>
        <w:t xml:space="preserve">deploy low carbon industrial technologies. </w:t>
      </w:r>
    </w:p>
    <w:p w14:paraId="7C86E6B6" w14:textId="77777777" w:rsidR="00CC2247" w:rsidRDefault="00CC2247" w:rsidP="00B260DA">
      <w:pPr>
        <w:rPr>
          <w:rFonts w:ascii="Arial" w:hAnsi="Arial" w:cs="Arial"/>
          <w:b/>
          <w:bCs/>
          <w:i/>
          <w:iCs/>
          <w:sz w:val="24"/>
          <w:szCs w:val="24"/>
        </w:rPr>
      </w:pPr>
    </w:p>
    <w:p w14:paraId="24EF6235" w14:textId="6656EBA1" w:rsidR="00B260DA" w:rsidRDefault="00823C69" w:rsidP="00B260DA">
      <w:pPr>
        <w:rPr>
          <w:rFonts w:ascii="Arial" w:hAnsi="Arial" w:cs="Arial"/>
          <w:b/>
          <w:bCs/>
          <w:i/>
          <w:iCs/>
          <w:sz w:val="24"/>
          <w:szCs w:val="24"/>
        </w:rPr>
      </w:pPr>
      <w:r>
        <w:rPr>
          <w:rFonts w:ascii="Arial" w:hAnsi="Arial" w:cs="Arial"/>
          <w:b/>
          <w:bCs/>
          <w:i/>
          <w:iCs/>
          <w:sz w:val="24"/>
          <w:szCs w:val="24"/>
        </w:rPr>
        <w:t xml:space="preserve">Question </w:t>
      </w:r>
      <w:r w:rsidR="0036754D">
        <w:rPr>
          <w:rFonts w:ascii="Arial" w:hAnsi="Arial" w:cs="Arial"/>
          <w:b/>
          <w:bCs/>
          <w:i/>
          <w:iCs/>
          <w:sz w:val="24"/>
          <w:szCs w:val="24"/>
        </w:rPr>
        <w:t xml:space="preserve">9. </w:t>
      </w:r>
      <w:r w:rsidR="00B260DA" w:rsidRPr="00B260DA">
        <w:rPr>
          <w:rFonts w:ascii="Arial" w:hAnsi="Arial" w:cs="Arial"/>
          <w:b/>
          <w:bCs/>
          <w:i/>
          <w:iCs/>
          <w:sz w:val="24"/>
          <w:szCs w:val="24"/>
        </w:rPr>
        <w:t>Is there sufficient strategic planning for distribution networks? What will Regional Energy Strategic Plans need to deliver in order to be a success?</w:t>
      </w:r>
    </w:p>
    <w:p w14:paraId="5CA66E55" w14:textId="586E164F" w:rsidR="0036754D" w:rsidRPr="00823C69" w:rsidRDefault="0036754D"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does not </w:t>
      </w:r>
      <w:r w:rsidR="00C25B7A">
        <w:rPr>
          <w:rFonts w:ascii="Arial" w:hAnsi="Arial" w:cs="Arial"/>
          <w:sz w:val="24"/>
          <w:szCs w:val="24"/>
        </w:rPr>
        <w:t xml:space="preserve">yet </w:t>
      </w:r>
      <w:r w:rsidRPr="00823C69">
        <w:rPr>
          <w:rFonts w:ascii="Arial" w:hAnsi="Arial" w:cs="Arial"/>
          <w:sz w:val="24"/>
          <w:szCs w:val="24"/>
        </w:rPr>
        <w:t>see sufficient strategy planning for</w:t>
      </w:r>
      <w:r w:rsidR="00C25B7A">
        <w:rPr>
          <w:rFonts w:ascii="Arial" w:hAnsi="Arial" w:cs="Arial"/>
          <w:sz w:val="24"/>
          <w:szCs w:val="24"/>
        </w:rPr>
        <w:t xml:space="preserve"> the</w:t>
      </w:r>
      <w:r w:rsidRPr="00823C69">
        <w:rPr>
          <w:rFonts w:ascii="Arial" w:hAnsi="Arial" w:cs="Arial"/>
          <w:sz w:val="24"/>
          <w:szCs w:val="24"/>
        </w:rPr>
        <w:t xml:space="preserve"> distribution network</w:t>
      </w:r>
      <w:r w:rsidR="00C25B7A">
        <w:rPr>
          <w:rFonts w:ascii="Arial" w:hAnsi="Arial" w:cs="Arial"/>
          <w:sz w:val="24"/>
          <w:szCs w:val="24"/>
        </w:rPr>
        <w:t>s</w:t>
      </w:r>
      <w:r w:rsidR="0092587B" w:rsidRPr="00823C69">
        <w:rPr>
          <w:rFonts w:ascii="Arial" w:hAnsi="Arial" w:cs="Arial"/>
          <w:sz w:val="24"/>
          <w:szCs w:val="24"/>
        </w:rPr>
        <w:t>, as most of the focus has been on the transmission network</w:t>
      </w:r>
      <w:r w:rsidR="00A80F93" w:rsidRPr="00823C69">
        <w:rPr>
          <w:rFonts w:ascii="Arial" w:hAnsi="Arial" w:cs="Arial"/>
          <w:sz w:val="24"/>
          <w:szCs w:val="24"/>
        </w:rPr>
        <w:t xml:space="preserve">. </w:t>
      </w:r>
      <w:r w:rsidR="00BC0B71" w:rsidRPr="00823C69">
        <w:rPr>
          <w:rFonts w:ascii="Arial" w:hAnsi="Arial" w:cs="Arial"/>
          <w:sz w:val="24"/>
          <w:szCs w:val="24"/>
        </w:rPr>
        <w:t xml:space="preserve">However, the Regional Energy Strategic Plans </w:t>
      </w:r>
      <w:r w:rsidR="007C2C2E" w:rsidRPr="00823C69">
        <w:rPr>
          <w:rFonts w:ascii="Arial" w:hAnsi="Arial" w:cs="Arial"/>
          <w:sz w:val="24"/>
          <w:szCs w:val="24"/>
        </w:rPr>
        <w:t xml:space="preserve">can </w:t>
      </w:r>
      <w:r w:rsidR="00BC0B71" w:rsidRPr="00823C69">
        <w:rPr>
          <w:rFonts w:ascii="Arial" w:hAnsi="Arial" w:cs="Arial"/>
          <w:sz w:val="24"/>
          <w:szCs w:val="24"/>
        </w:rPr>
        <w:t>contribute to a more</w:t>
      </w:r>
      <w:r w:rsidR="007C2C2E" w:rsidRPr="00823C69">
        <w:rPr>
          <w:rFonts w:ascii="Arial" w:hAnsi="Arial" w:cs="Arial"/>
          <w:sz w:val="24"/>
          <w:szCs w:val="24"/>
        </w:rPr>
        <w:t xml:space="preserve"> strategic plan if </w:t>
      </w:r>
      <w:r w:rsidR="006415ED" w:rsidRPr="00823C69">
        <w:rPr>
          <w:rFonts w:ascii="Arial" w:hAnsi="Arial" w:cs="Arial"/>
          <w:sz w:val="24"/>
          <w:szCs w:val="24"/>
        </w:rPr>
        <w:t xml:space="preserve">they and the Centralised Strategic </w:t>
      </w:r>
      <w:r w:rsidR="00EF593D" w:rsidRPr="00823C69">
        <w:rPr>
          <w:rFonts w:ascii="Arial" w:hAnsi="Arial" w:cs="Arial"/>
          <w:sz w:val="24"/>
          <w:szCs w:val="24"/>
        </w:rPr>
        <w:t xml:space="preserve">Network plan inform each other and are joined up. </w:t>
      </w:r>
      <w:r w:rsidR="006415ED" w:rsidRPr="00823C69">
        <w:rPr>
          <w:rFonts w:ascii="Arial" w:hAnsi="Arial" w:cs="Arial"/>
          <w:sz w:val="24"/>
          <w:szCs w:val="24"/>
        </w:rPr>
        <w:t xml:space="preserve"> </w:t>
      </w:r>
    </w:p>
    <w:p w14:paraId="2188C450" w14:textId="77777777" w:rsidR="00823C69" w:rsidRDefault="00823C69" w:rsidP="00823C69">
      <w:pPr>
        <w:pStyle w:val="ListParagraph"/>
        <w:ind w:left="360"/>
        <w:rPr>
          <w:rFonts w:ascii="Arial" w:hAnsi="Arial" w:cs="Arial"/>
          <w:sz w:val="24"/>
          <w:szCs w:val="24"/>
        </w:rPr>
      </w:pPr>
    </w:p>
    <w:p w14:paraId="08579553" w14:textId="366F11E4" w:rsidR="00764FAF" w:rsidRDefault="00764FAF"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continuously highlight the </w:t>
      </w:r>
      <w:r w:rsidR="00F82179" w:rsidRPr="00823C69">
        <w:rPr>
          <w:rFonts w:ascii="Arial" w:hAnsi="Arial" w:cs="Arial"/>
          <w:sz w:val="24"/>
          <w:szCs w:val="24"/>
        </w:rPr>
        <w:t xml:space="preserve">decarbonisation plans that the UK’s industrial cluster organisation have developed. </w:t>
      </w:r>
      <w:r w:rsidR="00765028" w:rsidRPr="00823C69">
        <w:rPr>
          <w:rFonts w:ascii="Arial" w:hAnsi="Arial" w:cs="Arial"/>
          <w:sz w:val="24"/>
          <w:szCs w:val="24"/>
        </w:rPr>
        <w:t>The project</w:t>
      </w:r>
      <w:r w:rsidR="00C25B7A">
        <w:rPr>
          <w:rFonts w:ascii="Arial" w:hAnsi="Arial" w:cs="Arial"/>
          <w:sz w:val="24"/>
          <w:szCs w:val="24"/>
        </w:rPr>
        <w:t>s</w:t>
      </w:r>
      <w:r w:rsidR="00765028" w:rsidRPr="00823C69">
        <w:rPr>
          <w:rFonts w:ascii="Arial" w:hAnsi="Arial" w:cs="Arial"/>
          <w:sz w:val="24"/>
          <w:szCs w:val="24"/>
        </w:rPr>
        <w:t xml:space="preserve"> to deliver on those plans are likely to have a significant impact on the</w:t>
      </w:r>
      <w:r w:rsidR="007F24F3" w:rsidRPr="00823C69">
        <w:rPr>
          <w:rFonts w:ascii="Arial" w:hAnsi="Arial" w:cs="Arial"/>
          <w:sz w:val="24"/>
          <w:szCs w:val="24"/>
        </w:rPr>
        <w:t xml:space="preserve"> Regional Energy Strategic Plan and </w:t>
      </w:r>
      <w:r w:rsidR="00033630" w:rsidRPr="00823C69">
        <w:rPr>
          <w:rFonts w:ascii="Arial" w:hAnsi="Arial" w:cs="Arial"/>
          <w:sz w:val="24"/>
          <w:szCs w:val="24"/>
        </w:rPr>
        <w:t xml:space="preserve">– depending on the make-up of the cluster – require upgrades in transmission and/or distribution connections. </w:t>
      </w:r>
    </w:p>
    <w:p w14:paraId="485CF142" w14:textId="77777777" w:rsidR="003F5CD0" w:rsidRPr="008F1964" w:rsidRDefault="003F5CD0" w:rsidP="008F1964">
      <w:pPr>
        <w:pStyle w:val="ListParagraph"/>
        <w:rPr>
          <w:rFonts w:ascii="Arial" w:hAnsi="Arial" w:cs="Arial"/>
          <w:sz w:val="24"/>
          <w:szCs w:val="24"/>
        </w:rPr>
      </w:pPr>
    </w:p>
    <w:p w14:paraId="39E6050F" w14:textId="25BADF66" w:rsidR="003F5CD0" w:rsidRPr="00823C69" w:rsidRDefault="003F5CD0" w:rsidP="00823C69">
      <w:pPr>
        <w:pStyle w:val="ListParagraph"/>
        <w:numPr>
          <w:ilvl w:val="0"/>
          <w:numId w:val="2"/>
        </w:numPr>
        <w:rPr>
          <w:rFonts w:ascii="Arial" w:hAnsi="Arial" w:cs="Arial"/>
          <w:sz w:val="24"/>
          <w:szCs w:val="24"/>
        </w:rPr>
      </w:pPr>
      <w:r>
        <w:rPr>
          <w:rFonts w:ascii="Arial" w:hAnsi="Arial" w:cs="Arial"/>
          <w:sz w:val="24"/>
          <w:szCs w:val="24"/>
        </w:rPr>
        <w:t xml:space="preserve">The EIUG believes that there is also not (yet) sufficient strategic planning between </w:t>
      </w:r>
      <w:r w:rsidRPr="003F5CD0">
        <w:rPr>
          <w:rFonts w:ascii="Arial" w:hAnsi="Arial" w:cs="Arial"/>
          <w:sz w:val="24"/>
          <w:szCs w:val="24"/>
        </w:rPr>
        <w:t xml:space="preserve">Government, </w:t>
      </w:r>
      <w:r>
        <w:rPr>
          <w:rFonts w:ascii="Arial" w:hAnsi="Arial" w:cs="Arial"/>
          <w:sz w:val="24"/>
          <w:szCs w:val="24"/>
        </w:rPr>
        <w:t>N</w:t>
      </w:r>
      <w:r w:rsidRPr="003F5CD0">
        <w:rPr>
          <w:rFonts w:ascii="Arial" w:hAnsi="Arial" w:cs="Arial"/>
          <w:sz w:val="24"/>
          <w:szCs w:val="24"/>
        </w:rPr>
        <w:t xml:space="preserve">ESO, Ofgem and large </w:t>
      </w:r>
      <w:r>
        <w:rPr>
          <w:rFonts w:ascii="Arial" w:hAnsi="Arial" w:cs="Arial"/>
          <w:sz w:val="24"/>
          <w:szCs w:val="24"/>
        </w:rPr>
        <w:t xml:space="preserve">demand users. </w:t>
      </w:r>
      <w:r w:rsidR="008F1964">
        <w:rPr>
          <w:rFonts w:ascii="Arial" w:hAnsi="Arial" w:cs="Arial"/>
          <w:sz w:val="24"/>
          <w:szCs w:val="24"/>
        </w:rPr>
        <w:t xml:space="preserve">Without such coordination, investments by energy intensive industries to electrify will be hampered. </w:t>
      </w:r>
    </w:p>
    <w:p w14:paraId="171F3778" w14:textId="77777777" w:rsidR="00B260DA" w:rsidRDefault="00B260DA" w:rsidP="00B260DA">
      <w:pPr>
        <w:rPr>
          <w:rFonts w:ascii="Arial" w:hAnsi="Arial" w:cs="Arial"/>
          <w:b/>
          <w:bCs/>
          <w:i/>
          <w:iCs/>
          <w:sz w:val="24"/>
          <w:szCs w:val="24"/>
        </w:rPr>
      </w:pPr>
    </w:p>
    <w:p w14:paraId="3F5D856F" w14:textId="13BC8D67" w:rsidR="00B260DA" w:rsidRDefault="00823C69" w:rsidP="00B260DA">
      <w:pPr>
        <w:rPr>
          <w:rFonts w:ascii="Arial" w:hAnsi="Arial" w:cs="Arial"/>
          <w:b/>
          <w:bCs/>
          <w:i/>
          <w:iCs/>
          <w:sz w:val="24"/>
          <w:szCs w:val="24"/>
        </w:rPr>
      </w:pPr>
      <w:r>
        <w:rPr>
          <w:rFonts w:ascii="Arial" w:hAnsi="Arial" w:cs="Arial"/>
          <w:b/>
          <w:bCs/>
          <w:i/>
          <w:iCs/>
          <w:sz w:val="24"/>
          <w:szCs w:val="24"/>
        </w:rPr>
        <w:t xml:space="preserve">Question </w:t>
      </w:r>
      <w:r w:rsidR="00B260DA" w:rsidRPr="00B260DA">
        <w:rPr>
          <w:rFonts w:ascii="Arial" w:hAnsi="Arial" w:cs="Arial"/>
          <w:b/>
          <w:bCs/>
          <w:i/>
          <w:iCs/>
          <w:sz w:val="24"/>
          <w:szCs w:val="24"/>
        </w:rPr>
        <w:t>10. Is there sufficient focus on connecting sources of demand, such as businesses, to energy networks, as well as connecting new sources of energy supply? How can the needs of potential consumers of energy be balanced with the need to ensure adequate supply?</w:t>
      </w:r>
    </w:p>
    <w:p w14:paraId="0E525F50" w14:textId="45442CC1" w:rsidR="00B260DA" w:rsidRPr="00823C69" w:rsidRDefault="007A4810"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does not </w:t>
      </w:r>
      <w:r w:rsidR="00F92FFD" w:rsidRPr="00823C69">
        <w:rPr>
          <w:rFonts w:ascii="Arial" w:hAnsi="Arial" w:cs="Arial"/>
          <w:sz w:val="24"/>
          <w:szCs w:val="24"/>
        </w:rPr>
        <w:t xml:space="preserve">think there is sufficient focus on connecting sources of demand. Though the NESO recognises </w:t>
      </w:r>
      <w:r w:rsidR="00FF0182" w:rsidRPr="00823C69">
        <w:rPr>
          <w:rFonts w:ascii="Arial" w:hAnsi="Arial" w:cs="Arial"/>
          <w:sz w:val="24"/>
          <w:szCs w:val="24"/>
        </w:rPr>
        <w:t xml:space="preserve">demand connection and the EIUG and ADE are on its Connection Programme Advisory Group, </w:t>
      </w:r>
      <w:r w:rsidR="00381330" w:rsidRPr="00823C69">
        <w:rPr>
          <w:rFonts w:ascii="Arial" w:hAnsi="Arial" w:cs="Arial"/>
          <w:sz w:val="24"/>
          <w:szCs w:val="24"/>
        </w:rPr>
        <w:t xml:space="preserve">demand features little in the mode detailed proposals and </w:t>
      </w:r>
      <w:r w:rsidR="00E01A1F" w:rsidRPr="00823C69">
        <w:rPr>
          <w:rFonts w:ascii="Arial" w:hAnsi="Arial" w:cs="Arial"/>
          <w:sz w:val="24"/>
          <w:szCs w:val="24"/>
        </w:rPr>
        <w:t xml:space="preserve">code modification at transmission network level. </w:t>
      </w:r>
      <w:r w:rsidR="00570809" w:rsidRPr="00823C69">
        <w:rPr>
          <w:rFonts w:ascii="Arial" w:hAnsi="Arial" w:cs="Arial"/>
          <w:sz w:val="24"/>
          <w:szCs w:val="24"/>
        </w:rPr>
        <w:t>Most energy intensive industries are still connected to the distribution network though</w:t>
      </w:r>
      <w:r w:rsidR="009C5E88">
        <w:rPr>
          <w:rFonts w:ascii="Arial" w:hAnsi="Arial" w:cs="Arial"/>
          <w:sz w:val="24"/>
          <w:szCs w:val="24"/>
        </w:rPr>
        <w:t>,</w:t>
      </w:r>
      <w:r w:rsidR="00570809" w:rsidRPr="00823C69">
        <w:rPr>
          <w:rFonts w:ascii="Arial" w:hAnsi="Arial" w:cs="Arial"/>
          <w:sz w:val="24"/>
          <w:szCs w:val="24"/>
        </w:rPr>
        <w:t xml:space="preserve"> </w:t>
      </w:r>
      <w:r w:rsidR="00E86AC8" w:rsidRPr="00823C69">
        <w:rPr>
          <w:rFonts w:ascii="Arial" w:hAnsi="Arial" w:cs="Arial"/>
          <w:sz w:val="24"/>
          <w:szCs w:val="24"/>
        </w:rPr>
        <w:t xml:space="preserve">where issues </w:t>
      </w:r>
      <w:r w:rsidR="003F5CD0">
        <w:rPr>
          <w:rFonts w:ascii="Arial" w:hAnsi="Arial" w:cs="Arial"/>
          <w:sz w:val="24"/>
          <w:szCs w:val="24"/>
        </w:rPr>
        <w:t xml:space="preserve">to </w:t>
      </w:r>
      <w:r w:rsidR="00E86AC8" w:rsidRPr="00823C69">
        <w:rPr>
          <w:rFonts w:ascii="Arial" w:hAnsi="Arial" w:cs="Arial"/>
          <w:sz w:val="24"/>
          <w:szCs w:val="24"/>
        </w:rPr>
        <w:t>connect</w:t>
      </w:r>
      <w:r w:rsidR="003F5CD0">
        <w:rPr>
          <w:rFonts w:ascii="Arial" w:hAnsi="Arial" w:cs="Arial"/>
          <w:sz w:val="24"/>
          <w:szCs w:val="24"/>
        </w:rPr>
        <w:t xml:space="preserve"> demand</w:t>
      </w:r>
      <w:r w:rsidR="00E86AC8" w:rsidRPr="00823C69">
        <w:rPr>
          <w:rFonts w:ascii="Arial" w:hAnsi="Arial" w:cs="Arial"/>
          <w:sz w:val="24"/>
          <w:szCs w:val="24"/>
        </w:rPr>
        <w:t xml:space="preserve"> are likely to be more prev</w:t>
      </w:r>
      <w:r w:rsidR="00426996" w:rsidRPr="00823C69">
        <w:rPr>
          <w:rFonts w:ascii="Arial" w:hAnsi="Arial" w:cs="Arial"/>
          <w:sz w:val="24"/>
          <w:szCs w:val="24"/>
        </w:rPr>
        <w:t xml:space="preserve">alent than at transmission level, depending on the distribution network. </w:t>
      </w:r>
    </w:p>
    <w:p w14:paraId="49F44684" w14:textId="77777777" w:rsidR="00823C69" w:rsidRDefault="00823C69" w:rsidP="00823C69">
      <w:pPr>
        <w:pStyle w:val="ListParagraph"/>
        <w:ind w:left="360"/>
        <w:rPr>
          <w:rFonts w:ascii="Arial" w:hAnsi="Arial" w:cs="Arial"/>
          <w:sz w:val="24"/>
          <w:szCs w:val="24"/>
        </w:rPr>
      </w:pPr>
    </w:p>
    <w:p w14:paraId="7647BD4E" w14:textId="228E58E0" w:rsidR="001060F9" w:rsidRPr="00823C69" w:rsidRDefault="001060F9"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would like to draw the committee’s attention to a </w:t>
      </w:r>
      <w:hyperlink r:id="rId14" w:history="1">
        <w:r w:rsidR="0085158B" w:rsidRPr="00823C69">
          <w:rPr>
            <w:rStyle w:val="Hyperlink"/>
            <w:rFonts w:ascii="Arial" w:hAnsi="Arial" w:cs="Arial"/>
            <w:sz w:val="24"/>
            <w:szCs w:val="24"/>
          </w:rPr>
          <w:t>briefing note</w:t>
        </w:r>
      </w:hyperlink>
      <w:r w:rsidR="0085158B" w:rsidRPr="00823C69">
        <w:rPr>
          <w:rFonts w:ascii="Arial" w:hAnsi="Arial" w:cs="Arial"/>
          <w:sz w:val="24"/>
          <w:szCs w:val="24"/>
        </w:rPr>
        <w:t xml:space="preserve"> from the Industrial Decarbonisation Research &amp; Innovation Centre (IDRC) about </w:t>
      </w:r>
      <w:r w:rsidR="00DB69A5" w:rsidRPr="00823C69">
        <w:rPr>
          <w:rFonts w:ascii="Arial" w:hAnsi="Arial" w:cs="Arial"/>
          <w:sz w:val="24"/>
          <w:szCs w:val="24"/>
        </w:rPr>
        <w:t xml:space="preserve">grid constraints and industrial decarbonisation. </w:t>
      </w:r>
      <w:r w:rsidR="00AC28E7" w:rsidRPr="00823C69">
        <w:rPr>
          <w:rFonts w:ascii="Arial" w:hAnsi="Arial" w:cs="Arial"/>
          <w:sz w:val="24"/>
          <w:szCs w:val="24"/>
        </w:rPr>
        <w:t>It states that “</w:t>
      </w:r>
      <w:bookmarkStart w:id="0" w:name="_Hlk188624003"/>
      <w:r w:rsidR="00AC28E7" w:rsidRPr="00823C69">
        <w:rPr>
          <w:rFonts w:ascii="Arial" w:hAnsi="Arial" w:cs="Arial"/>
          <w:i/>
          <w:iCs/>
          <w:sz w:val="24"/>
          <w:szCs w:val="24"/>
        </w:rPr>
        <w:t>Access to adequate electricity grid infrastructure currently represents a major constraint on UK Net Zero efforts. While the prevailing discussion to date has focused on delays to connecting large scale renewable projects, it is crucial to recognise the impact of grid connection issues on the demand side, where new or upgraded grid connections are required to enable industrial users to deploy a range of technologies critical for reducing fossil fuel use, and therefore greenhouse gas emissions, in industrial and manufacturing sectors</w:t>
      </w:r>
      <w:r w:rsidR="00B22EDA" w:rsidRPr="00823C69">
        <w:rPr>
          <w:rFonts w:ascii="Arial" w:hAnsi="Arial" w:cs="Arial"/>
          <w:sz w:val="24"/>
          <w:szCs w:val="24"/>
        </w:rPr>
        <w:t xml:space="preserve">” </w:t>
      </w:r>
      <w:bookmarkEnd w:id="0"/>
      <w:r w:rsidR="00B22EDA" w:rsidRPr="00823C69">
        <w:rPr>
          <w:rFonts w:ascii="Arial" w:hAnsi="Arial" w:cs="Arial"/>
          <w:sz w:val="24"/>
          <w:szCs w:val="24"/>
        </w:rPr>
        <w:t xml:space="preserve">and its key findings are: </w:t>
      </w:r>
    </w:p>
    <w:p w14:paraId="3E88C247" w14:textId="77777777" w:rsidR="009D17A0" w:rsidRPr="009D17A0" w:rsidRDefault="009D17A0" w:rsidP="009D17A0">
      <w:pPr>
        <w:pStyle w:val="ListParagraph"/>
        <w:numPr>
          <w:ilvl w:val="0"/>
          <w:numId w:val="17"/>
        </w:numPr>
        <w:rPr>
          <w:rFonts w:ascii="Arial" w:hAnsi="Arial" w:cs="Arial"/>
          <w:sz w:val="24"/>
          <w:szCs w:val="24"/>
        </w:rPr>
      </w:pPr>
      <w:r w:rsidRPr="009D17A0">
        <w:rPr>
          <w:rFonts w:ascii="Arial" w:hAnsi="Arial" w:cs="Arial"/>
          <w:sz w:val="24"/>
          <w:szCs w:val="24"/>
        </w:rPr>
        <w:t>In addition to electricity generation, grid connection delays present a significant risk for demand side decarbonisation measures, including electrification, hydrogen, CCUS, energy efficiency, onsite renewable generation and electricity export.</w:t>
      </w:r>
    </w:p>
    <w:p w14:paraId="1F91FA8E" w14:textId="77777777" w:rsidR="009D17A0" w:rsidRPr="009D17A0" w:rsidRDefault="009D17A0" w:rsidP="009D17A0">
      <w:pPr>
        <w:pStyle w:val="ListParagraph"/>
        <w:numPr>
          <w:ilvl w:val="0"/>
          <w:numId w:val="17"/>
        </w:numPr>
        <w:rPr>
          <w:rFonts w:ascii="Arial" w:hAnsi="Arial" w:cs="Arial"/>
          <w:sz w:val="24"/>
          <w:szCs w:val="24"/>
        </w:rPr>
      </w:pPr>
      <w:r w:rsidRPr="009D17A0">
        <w:rPr>
          <w:rFonts w:ascii="Arial" w:hAnsi="Arial" w:cs="Arial"/>
          <w:sz w:val="24"/>
          <w:szCs w:val="24"/>
        </w:rPr>
        <w:t>Many companies report delays of several years, with some offered connection dates as late as 2037, increasing cost, risking critical investment and loss of opportunities to tackle industrial emissions.</w:t>
      </w:r>
    </w:p>
    <w:p w14:paraId="71D43A62" w14:textId="10F62199" w:rsidR="001060F9" w:rsidRDefault="009D17A0" w:rsidP="00B260DA">
      <w:pPr>
        <w:pStyle w:val="ListParagraph"/>
        <w:numPr>
          <w:ilvl w:val="0"/>
          <w:numId w:val="17"/>
        </w:numPr>
        <w:rPr>
          <w:rFonts w:ascii="Arial" w:hAnsi="Arial" w:cs="Arial"/>
          <w:sz w:val="24"/>
          <w:szCs w:val="24"/>
        </w:rPr>
      </w:pPr>
      <w:r w:rsidRPr="008F1964">
        <w:rPr>
          <w:rFonts w:ascii="Arial" w:hAnsi="Arial" w:cs="Arial"/>
          <w:sz w:val="24"/>
          <w:szCs w:val="24"/>
        </w:rPr>
        <w:t>Grid delays may have an impact on the decarbonisation of businesses and sectors downstream in the supply chain, due to delays to the supply of low carbon and sustainable fuels</w:t>
      </w:r>
      <w:r w:rsidR="008F1964" w:rsidRPr="008F1964">
        <w:rPr>
          <w:rFonts w:ascii="Arial" w:hAnsi="Arial" w:cs="Arial"/>
          <w:sz w:val="24"/>
          <w:szCs w:val="24"/>
        </w:rPr>
        <w:t>.</w:t>
      </w:r>
    </w:p>
    <w:p w14:paraId="65D72A63" w14:textId="77777777" w:rsidR="008F1964" w:rsidRPr="008F1964" w:rsidRDefault="008F1964" w:rsidP="008F1964">
      <w:pPr>
        <w:pStyle w:val="ListParagraph"/>
        <w:rPr>
          <w:rFonts w:ascii="Arial" w:hAnsi="Arial" w:cs="Arial"/>
          <w:sz w:val="24"/>
          <w:szCs w:val="24"/>
        </w:rPr>
      </w:pPr>
    </w:p>
    <w:p w14:paraId="0409EC43" w14:textId="7685C700" w:rsidR="00426996" w:rsidRPr="00823C69" w:rsidRDefault="00426996"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advocates that DESNZ develops </w:t>
      </w:r>
      <w:r w:rsidR="004E6293" w:rsidRPr="00823C69">
        <w:rPr>
          <w:rFonts w:ascii="Arial" w:hAnsi="Arial" w:cs="Arial"/>
          <w:sz w:val="24"/>
          <w:szCs w:val="24"/>
        </w:rPr>
        <w:t xml:space="preserve">a framework for prioritisation for network connection based on </w:t>
      </w:r>
      <w:r w:rsidR="00F6102D" w:rsidRPr="00823C69">
        <w:rPr>
          <w:rFonts w:ascii="Arial" w:hAnsi="Arial" w:cs="Arial"/>
          <w:sz w:val="24"/>
          <w:szCs w:val="24"/>
        </w:rPr>
        <w:t>the Government Net Zero objectives</w:t>
      </w:r>
      <w:r w:rsidR="002149FA" w:rsidRPr="00823C69">
        <w:rPr>
          <w:rFonts w:ascii="Arial" w:hAnsi="Arial" w:cs="Arial"/>
          <w:sz w:val="24"/>
          <w:szCs w:val="24"/>
        </w:rPr>
        <w:t xml:space="preserve"> for Ofgem and NESO to apply</w:t>
      </w:r>
      <w:r w:rsidR="00F6102D" w:rsidRPr="00823C69">
        <w:rPr>
          <w:rFonts w:ascii="Arial" w:hAnsi="Arial" w:cs="Arial"/>
          <w:sz w:val="24"/>
          <w:szCs w:val="24"/>
        </w:rPr>
        <w:t>. This goes beyond NESO</w:t>
      </w:r>
      <w:r w:rsidR="00F61D1D" w:rsidRPr="00823C69">
        <w:rPr>
          <w:rFonts w:ascii="Arial" w:hAnsi="Arial" w:cs="Arial"/>
          <w:sz w:val="24"/>
          <w:szCs w:val="24"/>
        </w:rPr>
        <w:t>’s</w:t>
      </w:r>
      <w:r w:rsidR="00F6102D" w:rsidRPr="00823C69">
        <w:rPr>
          <w:rFonts w:ascii="Arial" w:hAnsi="Arial" w:cs="Arial"/>
          <w:sz w:val="24"/>
          <w:szCs w:val="24"/>
        </w:rPr>
        <w:t xml:space="preserve"> </w:t>
      </w:r>
      <w:r w:rsidR="00C963FE" w:rsidRPr="00823C69">
        <w:rPr>
          <w:rFonts w:ascii="Arial" w:hAnsi="Arial" w:cs="Arial"/>
          <w:sz w:val="24"/>
          <w:szCs w:val="24"/>
        </w:rPr>
        <w:t>methodology for designated projects</w:t>
      </w:r>
      <w:r w:rsidR="00F61D1D" w:rsidRPr="00823C69">
        <w:rPr>
          <w:rFonts w:ascii="Arial" w:hAnsi="Arial" w:cs="Arial"/>
          <w:sz w:val="24"/>
          <w:szCs w:val="24"/>
        </w:rPr>
        <w:t xml:space="preserve"> (see above)</w:t>
      </w:r>
      <w:r w:rsidR="00C963FE" w:rsidRPr="00823C69">
        <w:rPr>
          <w:rFonts w:ascii="Arial" w:hAnsi="Arial" w:cs="Arial"/>
          <w:sz w:val="24"/>
          <w:szCs w:val="24"/>
        </w:rPr>
        <w:t>. In particular, the EIUG advocate</w:t>
      </w:r>
      <w:r w:rsidR="00F61D1D" w:rsidRPr="00823C69">
        <w:rPr>
          <w:rFonts w:ascii="Arial" w:hAnsi="Arial" w:cs="Arial"/>
          <w:sz w:val="24"/>
          <w:szCs w:val="24"/>
        </w:rPr>
        <w:t>s</w:t>
      </w:r>
      <w:r w:rsidR="00C963FE" w:rsidRPr="00823C69">
        <w:rPr>
          <w:rFonts w:ascii="Arial" w:hAnsi="Arial" w:cs="Arial"/>
          <w:sz w:val="24"/>
          <w:szCs w:val="24"/>
        </w:rPr>
        <w:t xml:space="preserve"> prioritis</w:t>
      </w:r>
      <w:r w:rsidR="00F61D1D" w:rsidRPr="00823C69">
        <w:rPr>
          <w:rFonts w:ascii="Arial" w:hAnsi="Arial" w:cs="Arial"/>
          <w:sz w:val="24"/>
          <w:szCs w:val="24"/>
        </w:rPr>
        <w:t>ing</w:t>
      </w:r>
      <w:r w:rsidR="00C963FE" w:rsidRPr="00823C69">
        <w:rPr>
          <w:rFonts w:ascii="Arial" w:hAnsi="Arial" w:cs="Arial"/>
          <w:sz w:val="24"/>
          <w:szCs w:val="24"/>
        </w:rPr>
        <w:t xml:space="preserve"> those project that deliver the most greenhouse gas emission savings. </w:t>
      </w:r>
    </w:p>
    <w:p w14:paraId="0DFCE9E5" w14:textId="5EDE9F1C" w:rsidR="00FF0182" w:rsidRDefault="00FF0182" w:rsidP="00B260DA">
      <w:pPr>
        <w:rPr>
          <w:rFonts w:ascii="Arial" w:hAnsi="Arial" w:cs="Arial"/>
          <w:sz w:val="24"/>
          <w:szCs w:val="24"/>
        </w:rPr>
      </w:pPr>
    </w:p>
    <w:p w14:paraId="5CBE4D0D" w14:textId="7DBD7CB8" w:rsidR="00B260DA" w:rsidRDefault="00823C69" w:rsidP="00B260DA">
      <w:pPr>
        <w:rPr>
          <w:rFonts w:ascii="Arial" w:hAnsi="Arial" w:cs="Arial"/>
          <w:b/>
          <w:bCs/>
          <w:i/>
          <w:iCs/>
          <w:sz w:val="24"/>
          <w:szCs w:val="24"/>
        </w:rPr>
      </w:pPr>
      <w:r>
        <w:rPr>
          <w:rFonts w:ascii="Arial" w:hAnsi="Arial" w:cs="Arial"/>
          <w:b/>
          <w:bCs/>
          <w:i/>
          <w:iCs/>
          <w:sz w:val="24"/>
          <w:szCs w:val="24"/>
        </w:rPr>
        <w:t xml:space="preserve">Question </w:t>
      </w:r>
      <w:r w:rsidR="00B260DA" w:rsidRPr="00B260DA">
        <w:rPr>
          <w:rFonts w:ascii="Arial" w:hAnsi="Arial" w:cs="Arial"/>
          <w:b/>
          <w:bCs/>
          <w:i/>
          <w:iCs/>
          <w:sz w:val="24"/>
          <w:szCs w:val="24"/>
        </w:rPr>
        <w:t>12. Is there sufficient coordination between Government policy and the regulatory processes and frameworks for energy networks? Should the Government provide greater strategic guidance to the sector on how to drive growth and grid expansion, for instance by providing greater clarity on trade-offs through its Strategy and Policy Statement for energy policy?</w:t>
      </w:r>
    </w:p>
    <w:p w14:paraId="666CA734" w14:textId="7B9A91E9" w:rsidR="00B260DA" w:rsidRPr="00823C69" w:rsidRDefault="00E623DC" w:rsidP="00823C69">
      <w:pPr>
        <w:pStyle w:val="ListParagraph"/>
        <w:numPr>
          <w:ilvl w:val="0"/>
          <w:numId w:val="2"/>
        </w:numPr>
        <w:rPr>
          <w:rFonts w:ascii="Arial" w:hAnsi="Arial" w:cs="Arial"/>
          <w:sz w:val="24"/>
          <w:szCs w:val="24"/>
        </w:rPr>
      </w:pPr>
      <w:r w:rsidRPr="00823C69">
        <w:rPr>
          <w:rFonts w:ascii="Arial" w:hAnsi="Arial" w:cs="Arial"/>
          <w:sz w:val="24"/>
          <w:szCs w:val="24"/>
        </w:rPr>
        <w:t xml:space="preserve">The EIUG believes that there are sufficient governance processes in place to </w:t>
      </w:r>
      <w:r w:rsidR="008B2D24" w:rsidRPr="00823C69">
        <w:rPr>
          <w:rFonts w:ascii="Arial" w:hAnsi="Arial" w:cs="Arial"/>
          <w:sz w:val="24"/>
          <w:szCs w:val="24"/>
        </w:rPr>
        <w:t xml:space="preserve">between the Government, Ofgem and network operators, but it will remain a challenge to ensure that this </w:t>
      </w:r>
      <w:r w:rsidR="004C71F8" w:rsidRPr="00823C69">
        <w:rPr>
          <w:rFonts w:ascii="Arial" w:hAnsi="Arial" w:cs="Arial"/>
          <w:sz w:val="24"/>
          <w:szCs w:val="24"/>
        </w:rPr>
        <w:t xml:space="preserve">translates in sufficient coordination on substance. </w:t>
      </w:r>
      <w:r w:rsidR="00C15E8A" w:rsidRPr="00823C69">
        <w:rPr>
          <w:rFonts w:ascii="Arial" w:hAnsi="Arial" w:cs="Arial"/>
          <w:sz w:val="24"/>
          <w:szCs w:val="24"/>
        </w:rPr>
        <w:t xml:space="preserve">The EIUG is insure whether the SPS is the </w:t>
      </w:r>
      <w:r w:rsidR="00945831" w:rsidRPr="00823C69">
        <w:rPr>
          <w:rFonts w:ascii="Arial" w:hAnsi="Arial" w:cs="Arial"/>
          <w:sz w:val="24"/>
          <w:szCs w:val="24"/>
        </w:rPr>
        <w:t>best tool to provide that strategy guidance for better coordination</w:t>
      </w:r>
      <w:r w:rsidR="004D1BB1" w:rsidRPr="00823C69">
        <w:rPr>
          <w:rFonts w:ascii="Arial" w:hAnsi="Arial" w:cs="Arial"/>
          <w:sz w:val="24"/>
          <w:szCs w:val="24"/>
        </w:rPr>
        <w:t xml:space="preserve"> as it has pointed out that the Government’s policies to mitigate the risk of carbon leakage for energy intensive industries is not reflected in the current SPS for example.</w:t>
      </w:r>
    </w:p>
    <w:p w14:paraId="6C3C7DA0" w14:textId="0B9ECEB5" w:rsidR="00233C59" w:rsidRPr="006016E0" w:rsidRDefault="00BA08B9" w:rsidP="00B260DA">
      <w:pPr>
        <w:rPr>
          <w:rFonts w:ascii="Arial" w:hAnsi="Arial" w:cs="Arial"/>
          <w:sz w:val="24"/>
          <w:szCs w:val="24"/>
        </w:rPr>
      </w:pPr>
      <w:r w:rsidRPr="006016E0">
        <w:rPr>
          <w:rFonts w:ascii="Arial" w:hAnsi="Arial" w:cs="Arial"/>
          <w:sz w:val="24"/>
          <w:szCs w:val="24"/>
        </w:rPr>
        <w:t xml:space="preserve"> </w:t>
      </w:r>
    </w:p>
    <w:p w14:paraId="4324DB9E" w14:textId="759DF2BD" w:rsidR="00D605EB" w:rsidRDefault="006016E0" w:rsidP="00832924">
      <w:pPr>
        <w:rPr>
          <w:rFonts w:ascii="Arial" w:hAnsi="Arial" w:cs="Arial"/>
          <w:sz w:val="24"/>
          <w:szCs w:val="24"/>
        </w:rPr>
      </w:pPr>
      <w:r>
        <w:rPr>
          <w:rFonts w:ascii="Arial" w:hAnsi="Arial" w:cs="Arial"/>
          <w:sz w:val="24"/>
          <w:szCs w:val="24"/>
        </w:rPr>
        <w:t>Arjan Geveke</w:t>
      </w:r>
    </w:p>
    <w:p w14:paraId="1E7F96A8" w14:textId="5F9C8B5A" w:rsidR="006016E0" w:rsidRPr="003E7AC7" w:rsidRDefault="006016E0" w:rsidP="00832924">
      <w:pPr>
        <w:rPr>
          <w:rFonts w:ascii="Arial" w:hAnsi="Arial" w:cs="Arial"/>
          <w:sz w:val="24"/>
          <w:szCs w:val="24"/>
        </w:rPr>
      </w:pPr>
      <w:r>
        <w:rPr>
          <w:rFonts w:ascii="Arial" w:hAnsi="Arial" w:cs="Arial"/>
          <w:sz w:val="24"/>
          <w:szCs w:val="24"/>
        </w:rPr>
        <w:t>Director EIUG</w:t>
      </w:r>
    </w:p>
    <w:sectPr w:rsidR="006016E0" w:rsidRPr="003E7AC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8DB1" w14:textId="77777777" w:rsidR="00FB39A6" w:rsidRDefault="00FB39A6" w:rsidP="0078318C">
      <w:pPr>
        <w:spacing w:after="0" w:line="240" w:lineRule="auto"/>
      </w:pPr>
      <w:r>
        <w:separator/>
      </w:r>
    </w:p>
  </w:endnote>
  <w:endnote w:type="continuationSeparator" w:id="0">
    <w:p w14:paraId="6C0274BA" w14:textId="77777777" w:rsidR="00FB39A6" w:rsidRDefault="00FB39A6"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083997"/>
      <w:docPartObj>
        <w:docPartGallery w:val="Page Numbers (Bottom of Page)"/>
        <w:docPartUnique/>
      </w:docPartObj>
    </w:sdtPr>
    <w:sdtEndPr>
      <w:rPr>
        <w:noProof/>
      </w:rPr>
    </w:sdtEndPr>
    <w:sdtContent>
      <w:p w14:paraId="1991AFEF" w14:textId="0DD66481" w:rsidR="001C46D6" w:rsidRDefault="001C46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C505" w14:textId="77777777" w:rsidR="00FB39A6" w:rsidRDefault="00FB39A6" w:rsidP="0078318C">
      <w:pPr>
        <w:spacing w:after="0" w:line="240" w:lineRule="auto"/>
      </w:pPr>
      <w:r>
        <w:separator/>
      </w:r>
    </w:p>
  </w:footnote>
  <w:footnote w:type="continuationSeparator" w:id="0">
    <w:p w14:paraId="0ECD8420" w14:textId="77777777" w:rsidR="00FB39A6" w:rsidRDefault="00FB39A6" w:rsidP="0078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CA"/>
    <w:multiLevelType w:val="hybridMultilevel"/>
    <w:tmpl w:val="19B4900A"/>
    <w:lvl w:ilvl="0" w:tplc="506EE342">
      <w:start w:val="1"/>
      <w:numFmt w:val="decimal"/>
      <w:lvlText w:val="%1."/>
      <w:lvlJc w:val="left"/>
      <w:pPr>
        <w:ind w:left="360" w:hanging="360"/>
      </w:pPr>
      <w:rPr>
        <w:rFonts w:hint="default"/>
        <w:b w:val="0"/>
        <w:bCs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E1EF7"/>
    <w:multiLevelType w:val="hybridMultilevel"/>
    <w:tmpl w:val="5F662B14"/>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83FFA"/>
    <w:multiLevelType w:val="hybridMultilevel"/>
    <w:tmpl w:val="E5AED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A02DF"/>
    <w:multiLevelType w:val="hybridMultilevel"/>
    <w:tmpl w:val="ABB82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EB2BA0"/>
    <w:multiLevelType w:val="hybridMultilevel"/>
    <w:tmpl w:val="364C75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C66A00"/>
    <w:multiLevelType w:val="hybridMultilevel"/>
    <w:tmpl w:val="6EF8A9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92791"/>
    <w:multiLevelType w:val="hybridMultilevel"/>
    <w:tmpl w:val="8CC8672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2B0834"/>
    <w:multiLevelType w:val="hybridMultilevel"/>
    <w:tmpl w:val="D0C2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D65E0F"/>
    <w:multiLevelType w:val="hybridMultilevel"/>
    <w:tmpl w:val="6C7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D3C0B"/>
    <w:multiLevelType w:val="hybridMultilevel"/>
    <w:tmpl w:val="912AA030"/>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2A50CC"/>
    <w:multiLevelType w:val="hybridMultilevel"/>
    <w:tmpl w:val="C3C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61499"/>
    <w:multiLevelType w:val="hybridMultilevel"/>
    <w:tmpl w:val="1DC67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CF06BE"/>
    <w:multiLevelType w:val="hybridMultilevel"/>
    <w:tmpl w:val="9484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054C4"/>
    <w:multiLevelType w:val="hybridMultilevel"/>
    <w:tmpl w:val="0DF499D8"/>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152943">
    <w:abstractNumId w:val="12"/>
  </w:num>
  <w:num w:numId="2" w16cid:durableId="169687588">
    <w:abstractNumId w:val="0"/>
  </w:num>
  <w:num w:numId="3" w16cid:durableId="2020808906">
    <w:abstractNumId w:val="6"/>
  </w:num>
  <w:num w:numId="4" w16cid:durableId="1061100586">
    <w:abstractNumId w:val="14"/>
  </w:num>
  <w:num w:numId="5" w16cid:durableId="1827476606">
    <w:abstractNumId w:val="11"/>
  </w:num>
  <w:num w:numId="6" w16cid:durableId="1840074890">
    <w:abstractNumId w:val="13"/>
  </w:num>
  <w:num w:numId="7" w16cid:durableId="424619315">
    <w:abstractNumId w:val="7"/>
  </w:num>
  <w:num w:numId="8" w16cid:durableId="1260790564">
    <w:abstractNumId w:val="5"/>
  </w:num>
  <w:num w:numId="9" w16cid:durableId="168832868">
    <w:abstractNumId w:val="8"/>
  </w:num>
  <w:num w:numId="10" w16cid:durableId="33120837">
    <w:abstractNumId w:val="9"/>
  </w:num>
  <w:num w:numId="11" w16cid:durableId="1713142459">
    <w:abstractNumId w:val="4"/>
  </w:num>
  <w:num w:numId="12" w16cid:durableId="641427378">
    <w:abstractNumId w:val="2"/>
  </w:num>
  <w:num w:numId="13" w16cid:durableId="1043405229">
    <w:abstractNumId w:val="10"/>
  </w:num>
  <w:num w:numId="14" w16cid:durableId="353652962">
    <w:abstractNumId w:val="1"/>
  </w:num>
  <w:num w:numId="15" w16cid:durableId="720246174">
    <w:abstractNumId w:val="16"/>
  </w:num>
  <w:num w:numId="16" w16cid:durableId="2010594595">
    <w:abstractNumId w:val="3"/>
  </w:num>
  <w:num w:numId="17" w16cid:durableId="2040355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8"/>
    <w:rsid w:val="00000C05"/>
    <w:rsid w:val="00001FFA"/>
    <w:rsid w:val="0000232F"/>
    <w:rsid w:val="00005619"/>
    <w:rsid w:val="00005A76"/>
    <w:rsid w:val="00007827"/>
    <w:rsid w:val="000078BB"/>
    <w:rsid w:val="000078DD"/>
    <w:rsid w:val="00007FB5"/>
    <w:rsid w:val="000101DF"/>
    <w:rsid w:val="00010FCA"/>
    <w:rsid w:val="00011917"/>
    <w:rsid w:val="0001191D"/>
    <w:rsid w:val="0001268B"/>
    <w:rsid w:val="00013A09"/>
    <w:rsid w:val="000146EF"/>
    <w:rsid w:val="000148FD"/>
    <w:rsid w:val="00017802"/>
    <w:rsid w:val="00020185"/>
    <w:rsid w:val="000214B9"/>
    <w:rsid w:val="00021888"/>
    <w:rsid w:val="000226B2"/>
    <w:rsid w:val="00023F34"/>
    <w:rsid w:val="000242A3"/>
    <w:rsid w:val="00024F09"/>
    <w:rsid w:val="00027EFA"/>
    <w:rsid w:val="00030F3E"/>
    <w:rsid w:val="00032AF5"/>
    <w:rsid w:val="00033630"/>
    <w:rsid w:val="000339BC"/>
    <w:rsid w:val="00033C0D"/>
    <w:rsid w:val="000342CF"/>
    <w:rsid w:val="00034C23"/>
    <w:rsid w:val="00035B2A"/>
    <w:rsid w:val="00040CC7"/>
    <w:rsid w:val="00042DCB"/>
    <w:rsid w:val="00043BC4"/>
    <w:rsid w:val="00044199"/>
    <w:rsid w:val="00046654"/>
    <w:rsid w:val="0004739D"/>
    <w:rsid w:val="00050DED"/>
    <w:rsid w:val="000519E8"/>
    <w:rsid w:val="000534EE"/>
    <w:rsid w:val="000546A2"/>
    <w:rsid w:val="00054B13"/>
    <w:rsid w:val="000554B5"/>
    <w:rsid w:val="00055CDA"/>
    <w:rsid w:val="00056446"/>
    <w:rsid w:val="0006003C"/>
    <w:rsid w:val="00060992"/>
    <w:rsid w:val="000610C6"/>
    <w:rsid w:val="00061223"/>
    <w:rsid w:val="000618F2"/>
    <w:rsid w:val="00062033"/>
    <w:rsid w:val="00062D52"/>
    <w:rsid w:val="00063B31"/>
    <w:rsid w:val="00063C07"/>
    <w:rsid w:val="000654AC"/>
    <w:rsid w:val="00066C98"/>
    <w:rsid w:val="00070C67"/>
    <w:rsid w:val="00071340"/>
    <w:rsid w:val="0007293E"/>
    <w:rsid w:val="0007327A"/>
    <w:rsid w:val="00075CA4"/>
    <w:rsid w:val="00076C55"/>
    <w:rsid w:val="000774E0"/>
    <w:rsid w:val="0008016A"/>
    <w:rsid w:val="00080D6F"/>
    <w:rsid w:val="0008263D"/>
    <w:rsid w:val="00082872"/>
    <w:rsid w:val="00082BA9"/>
    <w:rsid w:val="000837A3"/>
    <w:rsid w:val="000838C7"/>
    <w:rsid w:val="00086826"/>
    <w:rsid w:val="000904B1"/>
    <w:rsid w:val="00090F6A"/>
    <w:rsid w:val="0009118C"/>
    <w:rsid w:val="00091DE4"/>
    <w:rsid w:val="000933DA"/>
    <w:rsid w:val="000934AD"/>
    <w:rsid w:val="00093ADC"/>
    <w:rsid w:val="00094E24"/>
    <w:rsid w:val="000956D8"/>
    <w:rsid w:val="000970C5"/>
    <w:rsid w:val="000A4541"/>
    <w:rsid w:val="000A5A5D"/>
    <w:rsid w:val="000A66BD"/>
    <w:rsid w:val="000A6AF1"/>
    <w:rsid w:val="000A7A93"/>
    <w:rsid w:val="000B0671"/>
    <w:rsid w:val="000B0F79"/>
    <w:rsid w:val="000B1FDF"/>
    <w:rsid w:val="000B680D"/>
    <w:rsid w:val="000B73A4"/>
    <w:rsid w:val="000C0554"/>
    <w:rsid w:val="000C12C3"/>
    <w:rsid w:val="000C2B9D"/>
    <w:rsid w:val="000C4265"/>
    <w:rsid w:val="000C5E08"/>
    <w:rsid w:val="000C652A"/>
    <w:rsid w:val="000C72B0"/>
    <w:rsid w:val="000C7326"/>
    <w:rsid w:val="000C7B39"/>
    <w:rsid w:val="000D1F3B"/>
    <w:rsid w:val="000D290D"/>
    <w:rsid w:val="000D4CCE"/>
    <w:rsid w:val="000D5BC2"/>
    <w:rsid w:val="000D7F17"/>
    <w:rsid w:val="000E1AE3"/>
    <w:rsid w:val="000E24A3"/>
    <w:rsid w:val="000E2E78"/>
    <w:rsid w:val="000E3B4B"/>
    <w:rsid w:val="000E3D25"/>
    <w:rsid w:val="000E5146"/>
    <w:rsid w:val="000E7486"/>
    <w:rsid w:val="000F1CFE"/>
    <w:rsid w:val="000F1DBB"/>
    <w:rsid w:val="000F3177"/>
    <w:rsid w:val="000F31FC"/>
    <w:rsid w:val="000F323E"/>
    <w:rsid w:val="000F3382"/>
    <w:rsid w:val="000F473F"/>
    <w:rsid w:val="000F70DE"/>
    <w:rsid w:val="000F7226"/>
    <w:rsid w:val="000F7C8A"/>
    <w:rsid w:val="00100639"/>
    <w:rsid w:val="00100E10"/>
    <w:rsid w:val="00102543"/>
    <w:rsid w:val="001039C9"/>
    <w:rsid w:val="00104D14"/>
    <w:rsid w:val="001050D1"/>
    <w:rsid w:val="00106084"/>
    <w:rsid w:val="001060F9"/>
    <w:rsid w:val="00106699"/>
    <w:rsid w:val="00106BB5"/>
    <w:rsid w:val="00107532"/>
    <w:rsid w:val="001076AC"/>
    <w:rsid w:val="00111AC2"/>
    <w:rsid w:val="00112B4A"/>
    <w:rsid w:val="00113ED3"/>
    <w:rsid w:val="00115285"/>
    <w:rsid w:val="00116229"/>
    <w:rsid w:val="0011735B"/>
    <w:rsid w:val="00117FD1"/>
    <w:rsid w:val="00120A7E"/>
    <w:rsid w:val="00121081"/>
    <w:rsid w:val="00124A22"/>
    <w:rsid w:val="001266BE"/>
    <w:rsid w:val="001276D0"/>
    <w:rsid w:val="0013221E"/>
    <w:rsid w:val="00133D91"/>
    <w:rsid w:val="00134499"/>
    <w:rsid w:val="00135FE8"/>
    <w:rsid w:val="00140440"/>
    <w:rsid w:val="001405B4"/>
    <w:rsid w:val="00141FDD"/>
    <w:rsid w:val="00143A15"/>
    <w:rsid w:val="00143B82"/>
    <w:rsid w:val="00143D2D"/>
    <w:rsid w:val="001462A5"/>
    <w:rsid w:val="001462E9"/>
    <w:rsid w:val="00146F86"/>
    <w:rsid w:val="001475A9"/>
    <w:rsid w:val="00147C60"/>
    <w:rsid w:val="00147C84"/>
    <w:rsid w:val="001501DF"/>
    <w:rsid w:val="001532AF"/>
    <w:rsid w:val="001546E1"/>
    <w:rsid w:val="00156177"/>
    <w:rsid w:val="00156748"/>
    <w:rsid w:val="00160EED"/>
    <w:rsid w:val="001614B9"/>
    <w:rsid w:val="001619FD"/>
    <w:rsid w:val="00162B1A"/>
    <w:rsid w:val="00162E2A"/>
    <w:rsid w:val="00164C56"/>
    <w:rsid w:val="00165407"/>
    <w:rsid w:val="00165511"/>
    <w:rsid w:val="00165D9C"/>
    <w:rsid w:val="00170E2B"/>
    <w:rsid w:val="0017283E"/>
    <w:rsid w:val="00173ACD"/>
    <w:rsid w:val="00173B72"/>
    <w:rsid w:val="00173F03"/>
    <w:rsid w:val="00174DE7"/>
    <w:rsid w:val="00176AD4"/>
    <w:rsid w:val="00176B1C"/>
    <w:rsid w:val="001772D6"/>
    <w:rsid w:val="001832BA"/>
    <w:rsid w:val="00184FB9"/>
    <w:rsid w:val="00185942"/>
    <w:rsid w:val="001859E1"/>
    <w:rsid w:val="00185C70"/>
    <w:rsid w:val="0018680B"/>
    <w:rsid w:val="001903C6"/>
    <w:rsid w:val="00192BA0"/>
    <w:rsid w:val="00195F4C"/>
    <w:rsid w:val="00197649"/>
    <w:rsid w:val="00197B8E"/>
    <w:rsid w:val="001A15EA"/>
    <w:rsid w:val="001A363C"/>
    <w:rsid w:val="001A3F77"/>
    <w:rsid w:val="001A4164"/>
    <w:rsid w:val="001A46BF"/>
    <w:rsid w:val="001A56F8"/>
    <w:rsid w:val="001A590F"/>
    <w:rsid w:val="001A686D"/>
    <w:rsid w:val="001A7D7E"/>
    <w:rsid w:val="001B040B"/>
    <w:rsid w:val="001B07FA"/>
    <w:rsid w:val="001B2098"/>
    <w:rsid w:val="001B311A"/>
    <w:rsid w:val="001B33CF"/>
    <w:rsid w:val="001B4755"/>
    <w:rsid w:val="001B588E"/>
    <w:rsid w:val="001B6DFD"/>
    <w:rsid w:val="001B74BF"/>
    <w:rsid w:val="001B76DE"/>
    <w:rsid w:val="001C01B1"/>
    <w:rsid w:val="001C0484"/>
    <w:rsid w:val="001C11AB"/>
    <w:rsid w:val="001C1560"/>
    <w:rsid w:val="001C21AB"/>
    <w:rsid w:val="001C27FB"/>
    <w:rsid w:val="001C3C79"/>
    <w:rsid w:val="001C3E75"/>
    <w:rsid w:val="001C42B3"/>
    <w:rsid w:val="001C4552"/>
    <w:rsid w:val="001C46D6"/>
    <w:rsid w:val="001C4DA4"/>
    <w:rsid w:val="001C5B23"/>
    <w:rsid w:val="001C5CC9"/>
    <w:rsid w:val="001D071E"/>
    <w:rsid w:val="001D32B4"/>
    <w:rsid w:val="001D3473"/>
    <w:rsid w:val="001D42E0"/>
    <w:rsid w:val="001D5903"/>
    <w:rsid w:val="001D654C"/>
    <w:rsid w:val="001D7245"/>
    <w:rsid w:val="001D769F"/>
    <w:rsid w:val="001E016C"/>
    <w:rsid w:val="001E2047"/>
    <w:rsid w:val="001E2482"/>
    <w:rsid w:val="001E3131"/>
    <w:rsid w:val="001E558F"/>
    <w:rsid w:val="001E5D49"/>
    <w:rsid w:val="001E6B21"/>
    <w:rsid w:val="001F1562"/>
    <w:rsid w:val="001F2EA8"/>
    <w:rsid w:val="001F3144"/>
    <w:rsid w:val="001F5186"/>
    <w:rsid w:val="001F61B3"/>
    <w:rsid w:val="001F6F48"/>
    <w:rsid w:val="001F7EBF"/>
    <w:rsid w:val="002001F4"/>
    <w:rsid w:val="002004DD"/>
    <w:rsid w:val="0020083C"/>
    <w:rsid w:val="00201B7B"/>
    <w:rsid w:val="00202640"/>
    <w:rsid w:val="0020490A"/>
    <w:rsid w:val="00204BFE"/>
    <w:rsid w:val="00205A22"/>
    <w:rsid w:val="00205DCD"/>
    <w:rsid w:val="00206DB8"/>
    <w:rsid w:val="00207A30"/>
    <w:rsid w:val="00207D19"/>
    <w:rsid w:val="00210657"/>
    <w:rsid w:val="00211A97"/>
    <w:rsid w:val="00211B79"/>
    <w:rsid w:val="0021329F"/>
    <w:rsid w:val="002149FA"/>
    <w:rsid w:val="00220895"/>
    <w:rsid w:val="0022161E"/>
    <w:rsid w:val="00221794"/>
    <w:rsid w:val="00221B28"/>
    <w:rsid w:val="00221F71"/>
    <w:rsid w:val="00222039"/>
    <w:rsid w:val="002276FD"/>
    <w:rsid w:val="00227F18"/>
    <w:rsid w:val="0023211E"/>
    <w:rsid w:val="00232386"/>
    <w:rsid w:val="00233017"/>
    <w:rsid w:val="00233C59"/>
    <w:rsid w:val="002345CC"/>
    <w:rsid w:val="00236191"/>
    <w:rsid w:val="0023657F"/>
    <w:rsid w:val="0023712E"/>
    <w:rsid w:val="00237791"/>
    <w:rsid w:val="002410A2"/>
    <w:rsid w:val="00241B53"/>
    <w:rsid w:val="002429BB"/>
    <w:rsid w:val="0024454E"/>
    <w:rsid w:val="00244EAC"/>
    <w:rsid w:val="002458F9"/>
    <w:rsid w:val="002500F8"/>
    <w:rsid w:val="0025040E"/>
    <w:rsid w:val="0025103B"/>
    <w:rsid w:val="00252C65"/>
    <w:rsid w:val="00253143"/>
    <w:rsid w:val="0025422A"/>
    <w:rsid w:val="002552C9"/>
    <w:rsid w:val="0025775C"/>
    <w:rsid w:val="00261F58"/>
    <w:rsid w:val="00264C16"/>
    <w:rsid w:val="00267015"/>
    <w:rsid w:val="00270406"/>
    <w:rsid w:val="002705CF"/>
    <w:rsid w:val="002706AB"/>
    <w:rsid w:val="00272188"/>
    <w:rsid w:val="00275647"/>
    <w:rsid w:val="0027768C"/>
    <w:rsid w:val="00280C1B"/>
    <w:rsid w:val="00283208"/>
    <w:rsid w:val="00283E88"/>
    <w:rsid w:val="00284027"/>
    <w:rsid w:val="00284F05"/>
    <w:rsid w:val="00285B40"/>
    <w:rsid w:val="00285EF2"/>
    <w:rsid w:val="002873C0"/>
    <w:rsid w:val="002928A5"/>
    <w:rsid w:val="00292ECB"/>
    <w:rsid w:val="00293977"/>
    <w:rsid w:val="0029514F"/>
    <w:rsid w:val="00296669"/>
    <w:rsid w:val="00296D35"/>
    <w:rsid w:val="00297D77"/>
    <w:rsid w:val="002A0CFB"/>
    <w:rsid w:val="002A28B5"/>
    <w:rsid w:val="002A2DCC"/>
    <w:rsid w:val="002A3128"/>
    <w:rsid w:val="002A4F92"/>
    <w:rsid w:val="002A6822"/>
    <w:rsid w:val="002A6B25"/>
    <w:rsid w:val="002A6CAB"/>
    <w:rsid w:val="002A7DEF"/>
    <w:rsid w:val="002B0EEC"/>
    <w:rsid w:val="002B1334"/>
    <w:rsid w:val="002B19E5"/>
    <w:rsid w:val="002B3F52"/>
    <w:rsid w:val="002B5D2D"/>
    <w:rsid w:val="002C0B8F"/>
    <w:rsid w:val="002C120F"/>
    <w:rsid w:val="002C14EA"/>
    <w:rsid w:val="002C1EE5"/>
    <w:rsid w:val="002C235A"/>
    <w:rsid w:val="002C2E4E"/>
    <w:rsid w:val="002C52DE"/>
    <w:rsid w:val="002C5AD9"/>
    <w:rsid w:val="002C723D"/>
    <w:rsid w:val="002C7C30"/>
    <w:rsid w:val="002D038B"/>
    <w:rsid w:val="002D2721"/>
    <w:rsid w:val="002D2C37"/>
    <w:rsid w:val="002D5611"/>
    <w:rsid w:val="002D5EB3"/>
    <w:rsid w:val="002D6003"/>
    <w:rsid w:val="002D6AB6"/>
    <w:rsid w:val="002E02CA"/>
    <w:rsid w:val="002E12FC"/>
    <w:rsid w:val="002E2888"/>
    <w:rsid w:val="002E2903"/>
    <w:rsid w:val="002E3883"/>
    <w:rsid w:val="002E3D94"/>
    <w:rsid w:val="002E3FB3"/>
    <w:rsid w:val="002E4779"/>
    <w:rsid w:val="002E57A3"/>
    <w:rsid w:val="002E5831"/>
    <w:rsid w:val="002E664F"/>
    <w:rsid w:val="002E6E34"/>
    <w:rsid w:val="002F0DE4"/>
    <w:rsid w:val="002F156A"/>
    <w:rsid w:val="002F17B6"/>
    <w:rsid w:val="002F3901"/>
    <w:rsid w:val="002F43B2"/>
    <w:rsid w:val="002F4EC2"/>
    <w:rsid w:val="002F7069"/>
    <w:rsid w:val="00300260"/>
    <w:rsid w:val="00300267"/>
    <w:rsid w:val="00300668"/>
    <w:rsid w:val="00301077"/>
    <w:rsid w:val="003015B9"/>
    <w:rsid w:val="00302B70"/>
    <w:rsid w:val="003030C5"/>
    <w:rsid w:val="00303575"/>
    <w:rsid w:val="003040D1"/>
    <w:rsid w:val="0030451F"/>
    <w:rsid w:val="00304AFB"/>
    <w:rsid w:val="0030551E"/>
    <w:rsid w:val="00305745"/>
    <w:rsid w:val="00306012"/>
    <w:rsid w:val="003066BA"/>
    <w:rsid w:val="00306AFA"/>
    <w:rsid w:val="00307203"/>
    <w:rsid w:val="00311950"/>
    <w:rsid w:val="00314B4F"/>
    <w:rsid w:val="0031535D"/>
    <w:rsid w:val="00316DE5"/>
    <w:rsid w:val="00317246"/>
    <w:rsid w:val="00321746"/>
    <w:rsid w:val="00322732"/>
    <w:rsid w:val="00322D4B"/>
    <w:rsid w:val="00323305"/>
    <w:rsid w:val="00323D1B"/>
    <w:rsid w:val="00324755"/>
    <w:rsid w:val="00324B02"/>
    <w:rsid w:val="00325896"/>
    <w:rsid w:val="00326DEC"/>
    <w:rsid w:val="003277EB"/>
    <w:rsid w:val="00327EDF"/>
    <w:rsid w:val="00330F11"/>
    <w:rsid w:val="003316E2"/>
    <w:rsid w:val="00331B5F"/>
    <w:rsid w:val="003321C1"/>
    <w:rsid w:val="00333321"/>
    <w:rsid w:val="003334FB"/>
    <w:rsid w:val="00333729"/>
    <w:rsid w:val="00334B79"/>
    <w:rsid w:val="00335145"/>
    <w:rsid w:val="003374F6"/>
    <w:rsid w:val="00341336"/>
    <w:rsid w:val="0034163A"/>
    <w:rsid w:val="0034190A"/>
    <w:rsid w:val="00343831"/>
    <w:rsid w:val="00344376"/>
    <w:rsid w:val="00345A86"/>
    <w:rsid w:val="00346579"/>
    <w:rsid w:val="00350CC5"/>
    <w:rsid w:val="00350CE1"/>
    <w:rsid w:val="0035241B"/>
    <w:rsid w:val="00353085"/>
    <w:rsid w:val="0035368C"/>
    <w:rsid w:val="00354FB3"/>
    <w:rsid w:val="00361201"/>
    <w:rsid w:val="003613C2"/>
    <w:rsid w:val="00361B92"/>
    <w:rsid w:val="0036326A"/>
    <w:rsid w:val="003643F7"/>
    <w:rsid w:val="003659BB"/>
    <w:rsid w:val="00367036"/>
    <w:rsid w:val="0036754D"/>
    <w:rsid w:val="00367CD4"/>
    <w:rsid w:val="00370B85"/>
    <w:rsid w:val="00372EFB"/>
    <w:rsid w:val="00373818"/>
    <w:rsid w:val="00374797"/>
    <w:rsid w:val="003747F6"/>
    <w:rsid w:val="00374902"/>
    <w:rsid w:val="00377833"/>
    <w:rsid w:val="00377B4D"/>
    <w:rsid w:val="00380337"/>
    <w:rsid w:val="00381330"/>
    <w:rsid w:val="00381F31"/>
    <w:rsid w:val="00385C30"/>
    <w:rsid w:val="00386192"/>
    <w:rsid w:val="00387B93"/>
    <w:rsid w:val="00390BC6"/>
    <w:rsid w:val="003938EB"/>
    <w:rsid w:val="00393945"/>
    <w:rsid w:val="00393AAF"/>
    <w:rsid w:val="00393BC3"/>
    <w:rsid w:val="003942E6"/>
    <w:rsid w:val="00395144"/>
    <w:rsid w:val="003970D8"/>
    <w:rsid w:val="00397179"/>
    <w:rsid w:val="00397D73"/>
    <w:rsid w:val="003A245D"/>
    <w:rsid w:val="003A3C60"/>
    <w:rsid w:val="003A4490"/>
    <w:rsid w:val="003A4C4D"/>
    <w:rsid w:val="003A58D5"/>
    <w:rsid w:val="003A5E7B"/>
    <w:rsid w:val="003B0D14"/>
    <w:rsid w:val="003B2532"/>
    <w:rsid w:val="003B303E"/>
    <w:rsid w:val="003B324C"/>
    <w:rsid w:val="003B53E5"/>
    <w:rsid w:val="003B5E5C"/>
    <w:rsid w:val="003B7670"/>
    <w:rsid w:val="003B77B9"/>
    <w:rsid w:val="003B7C7E"/>
    <w:rsid w:val="003B7EA7"/>
    <w:rsid w:val="003B7F09"/>
    <w:rsid w:val="003C0203"/>
    <w:rsid w:val="003C0517"/>
    <w:rsid w:val="003C1702"/>
    <w:rsid w:val="003C1B7C"/>
    <w:rsid w:val="003C3ADC"/>
    <w:rsid w:val="003C729D"/>
    <w:rsid w:val="003C752A"/>
    <w:rsid w:val="003D2E09"/>
    <w:rsid w:val="003D3DD8"/>
    <w:rsid w:val="003D44E8"/>
    <w:rsid w:val="003D4A3E"/>
    <w:rsid w:val="003D4A44"/>
    <w:rsid w:val="003D4DD0"/>
    <w:rsid w:val="003D6E7F"/>
    <w:rsid w:val="003D7D5D"/>
    <w:rsid w:val="003E084F"/>
    <w:rsid w:val="003E1059"/>
    <w:rsid w:val="003E107F"/>
    <w:rsid w:val="003E11D2"/>
    <w:rsid w:val="003E16AB"/>
    <w:rsid w:val="003E24E6"/>
    <w:rsid w:val="003E5616"/>
    <w:rsid w:val="003E7757"/>
    <w:rsid w:val="003E7AC7"/>
    <w:rsid w:val="003E7CC9"/>
    <w:rsid w:val="003F0499"/>
    <w:rsid w:val="003F125E"/>
    <w:rsid w:val="003F3ECE"/>
    <w:rsid w:val="003F52F1"/>
    <w:rsid w:val="003F5CD0"/>
    <w:rsid w:val="003F5DCA"/>
    <w:rsid w:val="003F6C97"/>
    <w:rsid w:val="003F780A"/>
    <w:rsid w:val="00401799"/>
    <w:rsid w:val="00401B7E"/>
    <w:rsid w:val="00402595"/>
    <w:rsid w:val="00403094"/>
    <w:rsid w:val="004033EC"/>
    <w:rsid w:val="00405E60"/>
    <w:rsid w:val="00411B37"/>
    <w:rsid w:val="00411C26"/>
    <w:rsid w:val="00413A13"/>
    <w:rsid w:val="00414671"/>
    <w:rsid w:val="004177EF"/>
    <w:rsid w:val="0042073B"/>
    <w:rsid w:val="00421095"/>
    <w:rsid w:val="004228F4"/>
    <w:rsid w:val="00422E38"/>
    <w:rsid w:val="004231D0"/>
    <w:rsid w:val="00423C20"/>
    <w:rsid w:val="00424C48"/>
    <w:rsid w:val="0042589F"/>
    <w:rsid w:val="00426996"/>
    <w:rsid w:val="00426B1B"/>
    <w:rsid w:val="00430E96"/>
    <w:rsid w:val="0043234F"/>
    <w:rsid w:val="004325EF"/>
    <w:rsid w:val="00432676"/>
    <w:rsid w:val="004328FB"/>
    <w:rsid w:val="004329F8"/>
    <w:rsid w:val="00432D15"/>
    <w:rsid w:val="00432E26"/>
    <w:rsid w:val="00435473"/>
    <w:rsid w:val="00435D26"/>
    <w:rsid w:val="00437559"/>
    <w:rsid w:val="00437707"/>
    <w:rsid w:val="00440B83"/>
    <w:rsid w:val="00442179"/>
    <w:rsid w:val="004425C7"/>
    <w:rsid w:val="00442AAC"/>
    <w:rsid w:val="00444FA6"/>
    <w:rsid w:val="00444FEF"/>
    <w:rsid w:val="004452D2"/>
    <w:rsid w:val="00446B5E"/>
    <w:rsid w:val="0045076A"/>
    <w:rsid w:val="0045169E"/>
    <w:rsid w:val="004522A0"/>
    <w:rsid w:val="00453B7C"/>
    <w:rsid w:val="00453B7D"/>
    <w:rsid w:val="004568F7"/>
    <w:rsid w:val="00457594"/>
    <w:rsid w:val="00457C60"/>
    <w:rsid w:val="0046165C"/>
    <w:rsid w:val="00462112"/>
    <w:rsid w:val="004625EC"/>
    <w:rsid w:val="00464105"/>
    <w:rsid w:val="004704DA"/>
    <w:rsid w:val="00470B7C"/>
    <w:rsid w:val="00471590"/>
    <w:rsid w:val="0047406E"/>
    <w:rsid w:val="00477574"/>
    <w:rsid w:val="00477A0D"/>
    <w:rsid w:val="004812D5"/>
    <w:rsid w:val="004837D1"/>
    <w:rsid w:val="004844EB"/>
    <w:rsid w:val="00484C4B"/>
    <w:rsid w:val="004916C4"/>
    <w:rsid w:val="0049312F"/>
    <w:rsid w:val="004933B5"/>
    <w:rsid w:val="004A06DC"/>
    <w:rsid w:val="004A0D1E"/>
    <w:rsid w:val="004A0E63"/>
    <w:rsid w:val="004A20AB"/>
    <w:rsid w:val="004A2E01"/>
    <w:rsid w:val="004A2F3A"/>
    <w:rsid w:val="004A51D2"/>
    <w:rsid w:val="004A5218"/>
    <w:rsid w:val="004A59BB"/>
    <w:rsid w:val="004A5B5C"/>
    <w:rsid w:val="004A654E"/>
    <w:rsid w:val="004A660C"/>
    <w:rsid w:val="004A7C51"/>
    <w:rsid w:val="004B3F3E"/>
    <w:rsid w:val="004B58BF"/>
    <w:rsid w:val="004B695D"/>
    <w:rsid w:val="004B6FFB"/>
    <w:rsid w:val="004C0167"/>
    <w:rsid w:val="004C0DC0"/>
    <w:rsid w:val="004C118A"/>
    <w:rsid w:val="004C1CA8"/>
    <w:rsid w:val="004C2D3B"/>
    <w:rsid w:val="004C6459"/>
    <w:rsid w:val="004C71F8"/>
    <w:rsid w:val="004D0087"/>
    <w:rsid w:val="004D1BB1"/>
    <w:rsid w:val="004D3799"/>
    <w:rsid w:val="004D3B2B"/>
    <w:rsid w:val="004D3DFA"/>
    <w:rsid w:val="004D60E8"/>
    <w:rsid w:val="004D7991"/>
    <w:rsid w:val="004E2F50"/>
    <w:rsid w:val="004E486C"/>
    <w:rsid w:val="004E5F4C"/>
    <w:rsid w:val="004E6293"/>
    <w:rsid w:val="004E68EF"/>
    <w:rsid w:val="004E6B7D"/>
    <w:rsid w:val="004F04B3"/>
    <w:rsid w:val="004F1925"/>
    <w:rsid w:val="004F246D"/>
    <w:rsid w:val="004F364E"/>
    <w:rsid w:val="004F48C9"/>
    <w:rsid w:val="004F7B5F"/>
    <w:rsid w:val="0050012E"/>
    <w:rsid w:val="0050105B"/>
    <w:rsid w:val="00502CEE"/>
    <w:rsid w:val="00503326"/>
    <w:rsid w:val="00503BE9"/>
    <w:rsid w:val="00504D02"/>
    <w:rsid w:val="00505652"/>
    <w:rsid w:val="0051036D"/>
    <w:rsid w:val="00510D1A"/>
    <w:rsid w:val="00510ECD"/>
    <w:rsid w:val="00511E2B"/>
    <w:rsid w:val="00517D82"/>
    <w:rsid w:val="00521FF8"/>
    <w:rsid w:val="00524099"/>
    <w:rsid w:val="00525B11"/>
    <w:rsid w:val="005272A5"/>
    <w:rsid w:val="00527FB8"/>
    <w:rsid w:val="00530A08"/>
    <w:rsid w:val="00530CBF"/>
    <w:rsid w:val="00531690"/>
    <w:rsid w:val="0053343F"/>
    <w:rsid w:val="00534416"/>
    <w:rsid w:val="005346EA"/>
    <w:rsid w:val="005349B9"/>
    <w:rsid w:val="00534F2F"/>
    <w:rsid w:val="00535A4F"/>
    <w:rsid w:val="00537511"/>
    <w:rsid w:val="00541BF5"/>
    <w:rsid w:val="00544444"/>
    <w:rsid w:val="00544BE7"/>
    <w:rsid w:val="00545707"/>
    <w:rsid w:val="00545A3C"/>
    <w:rsid w:val="00550390"/>
    <w:rsid w:val="00550E7C"/>
    <w:rsid w:val="00550EF8"/>
    <w:rsid w:val="00550F05"/>
    <w:rsid w:val="005528FE"/>
    <w:rsid w:val="0055338A"/>
    <w:rsid w:val="0055516F"/>
    <w:rsid w:val="005557AC"/>
    <w:rsid w:val="00555BED"/>
    <w:rsid w:val="005563C0"/>
    <w:rsid w:val="00556D4B"/>
    <w:rsid w:val="00556E20"/>
    <w:rsid w:val="005605E4"/>
    <w:rsid w:val="0056093E"/>
    <w:rsid w:val="00561BFB"/>
    <w:rsid w:val="0056597C"/>
    <w:rsid w:val="00570809"/>
    <w:rsid w:val="005708B1"/>
    <w:rsid w:val="005708FF"/>
    <w:rsid w:val="00570D7D"/>
    <w:rsid w:val="005729E1"/>
    <w:rsid w:val="00573812"/>
    <w:rsid w:val="005741CF"/>
    <w:rsid w:val="005743A1"/>
    <w:rsid w:val="00574B45"/>
    <w:rsid w:val="005770CA"/>
    <w:rsid w:val="005803EE"/>
    <w:rsid w:val="00581282"/>
    <w:rsid w:val="0058255B"/>
    <w:rsid w:val="00582F0D"/>
    <w:rsid w:val="0058469C"/>
    <w:rsid w:val="005856CC"/>
    <w:rsid w:val="00586D8A"/>
    <w:rsid w:val="00587AE9"/>
    <w:rsid w:val="005906B2"/>
    <w:rsid w:val="00590D5E"/>
    <w:rsid w:val="00591396"/>
    <w:rsid w:val="0059342F"/>
    <w:rsid w:val="005941FA"/>
    <w:rsid w:val="0059459F"/>
    <w:rsid w:val="00596E43"/>
    <w:rsid w:val="00597D61"/>
    <w:rsid w:val="005A0DD4"/>
    <w:rsid w:val="005A18CF"/>
    <w:rsid w:val="005A20C2"/>
    <w:rsid w:val="005A4824"/>
    <w:rsid w:val="005A48E2"/>
    <w:rsid w:val="005A5117"/>
    <w:rsid w:val="005A6714"/>
    <w:rsid w:val="005A7E01"/>
    <w:rsid w:val="005B03AF"/>
    <w:rsid w:val="005B161E"/>
    <w:rsid w:val="005B200C"/>
    <w:rsid w:val="005B22EA"/>
    <w:rsid w:val="005B2542"/>
    <w:rsid w:val="005B26C6"/>
    <w:rsid w:val="005B41D4"/>
    <w:rsid w:val="005B495E"/>
    <w:rsid w:val="005B4B2E"/>
    <w:rsid w:val="005B50C8"/>
    <w:rsid w:val="005B53C4"/>
    <w:rsid w:val="005C0BC5"/>
    <w:rsid w:val="005C1380"/>
    <w:rsid w:val="005C15D7"/>
    <w:rsid w:val="005C217D"/>
    <w:rsid w:val="005C27BF"/>
    <w:rsid w:val="005C32AA"/>
    <w:rsid w:val="005C3DA2"/>
    <w:rsid w:val="005C56F1"/>
    <w:rsid w:val="005C5DE0"/>
    <w:rsid w:val="005D2458"/>
    <w:rsid w:val="005D24E1"/>
    <w:rsid w:val="005D4B4D"/>
    <w:rsid w:val="005D5A20"/>
    <w:rsid w:val="005D5CD6"/>
    <w:rsid w:val="005D66F7"/>
    <w:rsid w:val="005D69FB"/>
    <w:rsid w:val="005D6C5C"/>
    <w:rsid w:val="005D7838"/>
    <w:rsid w:val="005D7C15"/>
    <w:rsid w:val="005E004C"/>
    <w:rsid w:val="005E10AC"/>
    <w:rsid w:val="005E17D1"/>
    <w:rsid w:val="005E2144"/>
    <w:rsid w:val="005E251A"/>
    <w:rsid w:val="005E2B45"/>
    <w:rsid w:val="005E3448"/>
    <w:rsid w:val="005E3F2F"/>
    <w:rsid w:val="005E49BD"/>
    <w:rsid w:val="005E54A3"/>
    <w:rsid w:val="005E7C9B"/>
    <w:rsid w:val="005F0245"/>
    <w:rsid w:val="005F2D00"/>
    <w:rsid w:val="005F330E"/>
    <w:rsid w:val="005F4434"/>
    <w:rsid w:val="005F4BAF"/>
    <w:rsid w:val="005F7672"/>
    <w:rsid w:val="006004CA"/>
    <w:rsid w:val="0060074A"/>
    <w:rsid w:val="0060098F"/>
    <w:rsid w:val="006016E0"/>
    <w:rsid w:val="00601DFC"/>
    <w:rsid w:val="00603655"/>
    <w:rsid w:val="00606503"/>
    <w:rsid w:val="00606D4E"/>
    <w:rsid w:val="006124FC"/>
    <w:rsid w:val="0061344A"/>
    <w:rsid w:val="006136E7"/>
    <w:rsid w:val="006139CB"/>
    <w:rsid w:val="0061614B"/>
    <w:rsid w:val="00616192"/>
    <w:rsid w:val="00617DFF"/>
    <w:rsid w:val="00620367"/>
    <w:rsid w:val="00623C14"/>
    <w:rsid w:val="00624F98"/>
    <w:rsid w:val="0062578A"/>
    <w:rsid w:val="006270EE"/>
    <w:rsid w:val="00630812"/>
    <w:rsid w:val="00631412"/>
    <w:rsid w:val="00632CDC"/>
    <w:rsid w:val="006337B1"/>
    <w:rsid w:val="006367E4"/>
    <w:rsid w:val="00636B0F"/>
    <w:rsid w:val="00636BBA"/>
    <w:rsid w:val="006373A2"/>
    <w:rsid w:val="00641209"/>
    <w:rsid w:val="006415ED"/>
    <w:rsid w:val="00643E3B"/>
    <w:rsid w:val="00644B79"/>
    <w:rsid w:val="0064549B"/>
    <w:rsid w:val="00645FE4"/>
    <w:rsid w:val="00646727"/>
    <w:rsid w:val="006503DB"/>
    <w:rsid w:val="006504C9"/>
    <w:rsid w:val="00650D70"/>
    <w:rsid w:val="006524A3"/>
    <w:rsid w:val="00654018"/>
    <w:rsid w:val="00656FA5"/>
    <w:rsid w:val="00657D8D"/>
    <w:rsid w:val="006605BB"/>
    <w:rsid w:val="00660FB3"/>
    <w:rsid w:val="00661ED9"/>
    <w:rsid w:val="00662122"/>
    <w:rsid w:val="0066237D"/>
    <w:rsid w:val="006637A0"/>
    <w:rsid w:val="00663CE7"/>
    <w:rsid w:val="00664FF6"/>
    <w:rsid w:val="00666F52"/>
    <w:rsid w:val="006704F3"/>
    <w:rsid w:val="00671F39"/>
    <w:rsid w:val="00672148"/>
    <w:rsid w:val="00673CAA"/>
    <w:rsid w:val="006744F3"/>
    <w:rsid w:val="006758CB"/>
    <w:rsid w:val="00675BFB"/>
    <w:rsid w:val="0067647D"/>
    <w:rsid w:val="00676990"/>
    <w:rsid w:val="00676A82"/>
    <w:rsid w:val="00676C50"/>
    <w:rsid w:val="00676FC2"/>
    <w:rsid w:val="00677A25"/>
    <w:rsid w:val="00677E69"/>
    <w:rsid w:val="00677FA6"/>
    <w:rsid w:val="0068197E"/>
    <w:rsid w:val="006839C2"/>
    <w:rsid w:val="00683E6B"/>
    <w:rsid w:val="00684C36"/>
    <w:rsid w:val="00685DE7"/>
    <w:rsid w:val="00686E6D"/>
    <w:rsid w:val="006874DC"/>
    <w:rsid w:val="00687BEB"/>
    <w:rsid w:val="00687ED7"/>
    <w:rsid w:val="006901B2"/>
    <w:rsid w:val="006906B9"/>
    <w:rsid w:val="00691682"/>
    <w:rsid w:val="00691F97"/>
    <w:rsid w:val="00695363"/>
    <w:rsid w:val="0069598A"/>
    <w:rsid w:val="006961E0"/>
    <w:rsid w:val="0069635F"/>
    <w:rsid w:val="00696CBC"/>
    <w:rsid w:val="006A0147"/>
    <w:rsid w:val="006A1A95"/>
    <w:rsid w:val="006A1BB8"/>
    <w:rsid w:val="006A1ECE"/>
    <w:rsid w:val="006A234A"/>
    <w:rsid w:val="006A339F"/>
    <w:rsid w:val="006A3E4D"/>
    <w:rsid w:val="006A50B8"/>
    <w:rsid w:val="006A52D6"/>
    <w:rsid w:val="006A75AB"/>
    <w:rsid w:val="006A796C"/>
    <w:rsid w:val="006B141F"/>
    <w:rsid w:val="006B2BDB"/>
    <w:rsid w:val="006B48AD"/>
    <w:rsid w:val="006B5142"/>
    <w:rsid w:val="006B699A"/>
    <w:rsid w:val="006B73F5"/>
    <w:rsid w:val="006B7827"/>
    <w:rsid w:val="006C19BD"/>
    <w:rsid w:val="006C311B"/>
    <w:rsid w:val="006C52BA"/>
    <w:rsid w:val="006C5BC2"/>
    <w:rsid w:val="006C7F15"/>
    <w:rsid w:val="006D1762"/>
    <w:rsid w:val="006D25FE"/>
    <w:rsid w:val="006D36D4"/>
    <w:rsid w:val="006D4D0D"/>
    <w:rsid w:val="006D5A0C"/>
    <w:rsid w:val="006D5A13"/>
    <w:rsid w:val="006D620C"/>
    <w:rsid w:val="006D6315"/>
    <w:rsid w:val="006D64E6"/>
    <w:rsid w:val="006E2DE7"/>
    <w:rsid w:val="006E4624"/>
    <w:rsid w:val="006E6967"/>
    <w:rsid w:val="006E70FE"/>
    <w:rsid w:val="006F0228"/>
    <w:rsid w:val="006F22F4"/>
    <w:rsid w:val="006F39BB"/>
    <w:rsid w:val="006F3B8F"/>
    <w:rsid w:val="006F46D6"/>
    <w:rsid w:val="006F4D7B"/>
    <w:rsid w:val="006F73E1"/>
    <w:rsid w:val="007009F6"/>
    <w:rsid w:val="007035A3"/>
    <w:rsid w:val="00703C6F"/>
    <w:rsid w:val="00704042"/>
    <w:rsid w:val="0070415C"/>
    <w:rsid w:val="007043F5"/>
    <w:rsid w:val="00705157"/>
    <w:rsid w:val="00705B72"/>
    <w:rsid w:val="0071048D"/>
    <w:rsid w:val="007109A8"/>
    <w:rsid w:val="007113E1"/>
    <w:rsid w:val="0071333B"/>
    <w:rsid w:val="007134F9"/>
    <w:rsid w:val="0071481D"/>
    <w:rsid w:val="00715215"/>
    <w:rsid w:val="007163DB"/>
    <w:rsid w:val="0071774F"/>
    <w:rsid w:val="00720B48"/>
    <w:rsid w:val="00723666"/>
    <w:rsid w:val="00723C49"/>
    <w:rsid w:val="00724DFF"/>
    <w:rsid w:val="00725829"/>
    <w:rsid w:val="00725D9A"/>
    <w:rsid w:val="00726375"/>
    <w:rsid w:val="00730479"/>
    <w:rsid w:val="007304F7"/>
    <w:rsid w:val="00730504"/>
    <w:rsid w:val="00730594"/>
    <w:rsid w:val="00733CAF"/>
    <w:rsid w:val="0073439F"/>
    <w:rsid w:val="00735353"/>
    <w:rsid w:val="007379B8"/>
    <w:rsid w:val="0074018C"/>
    <w:rsid w:val="0074197E"/>
    <w:rsid w:val="0074367F"/>
    <w:rsid w:val="00744587"/>
    <w:rsid w:val="00744861"/>
    <w:rsid w:val="00745B82"/>
    <w:rsid w:val="00747552"/>
    <w:rsid w:val="00747E7C"/>
    <w:rsid w:val="00747EFE"/>
    <w:rsid w:val="00750228"/>
    <w:rsid w:val="0075030D"/>
    <w:rsid w:val="007511C3"/>
    <w:rsid w:val="007523DA"/>
    <w:rsid w:val="00752E33"/>
    <w:rsid w:val="0075348B"/>
    <w:rsid w:val="00754CA0"/>
    <w:rsid w:val="00755869"/>
    <w:rsid w:val="00755F0F"/>
    <w:rsid w:val="00756C8C"/>
    <w:rsid w:val="007636BD"/>
    <w:rsid w:val="00764103"/>
    <w:rsid w:val="00764FAF"/>
    <w:rsid w:val="00765028"/>
    <w:rsid w:val="00766259"/>
    <w:rsid w:val="007666E5"/>
    <w:rsid w:val="00766883"/>
    <w:rsid w:val="007679C5"/>
    <w:rsid w:val="00767A03"/>
    <w:rsid w:val="0077081A"/>
    <w:rsid w:val="00772F02"/>
    <w:rsid w:val="007730BE"/>
    <w:rsid w:val="00773A03"/>
    <w:rsid w:val="0077460D"/>
    <w:rsid w:val="00774D78"/>
    <w:rsid w:val="00774F6E"/>
    <w:rsid w:val="00776C0B"/>
    <w:rsid w:val="0078318C"/>
    <w:rsid w:val="007837C7"/>
    <w:rsid w:val="00784453"/>
    <w:rsid w:val="007847B2"/>
    <w:rsid w:val="00784A08"/>
    <w:rsid w:val="007863E0"/>
    <w:rsid w:val="0079058F"/>
    <w:rsid w:val="00791014"/>
    <w:rsid w:val="007916F7"/>
    <w:rsid w:val="00791DF8"/>
    <w:rsid w:val="00791F5D"/>
    <w:rsid w:val="0079201A"/>
    <w:rsid w:val="00796B36"/>
    <w:rsid w:val="0079754B"/>
    <w:rsid w:val="007A0D2E"/>
    <w:rsid w:val="007A31F3"/>
    <w:rsid w:val="007A3937"/>
    <w:rsid w:val="007A42F0"/>
    <w:rsid w:val="007A4715"/>
    <w:rsid w:val="007A4810"/>
    <w:rsid w:val="007A58B1"/>
    <w:rsid w:val="007B0E81"/>
    <w:rsid w:val="007B21B5"/>
    <w:rsid w:val="007B306F"/>
    <w:rsid w:val="007B3701"/>
    <w:rsid w:val="007B623D"/>
    <w:rsid w:val="007B626D"/>
    <w:rsid w:val="007B7080"/>
    <w:rsid w:val="007B75E5"/>
    <w:rsid w:val="007B7D26"/>
    <w:rsid w:val="007C0AFB"/>
    <w:rsid w:val="007C2ADD"/>
    <w:rsid w:val="007C2C2E"/>
    <w:rsid w:val="007C58AD"/>
    <w:rsid w:val="007C6E74"/>
    <w:rsid w:val="007C746D"/>
    <w:rsid w:val="007C78A9"/>
    <w:rsid w:val="007D0D22"/>
    <w:rsid w:val="007D11A4"/>
    <w:rsid w:val="007D1F4A"/>
    <w:rsid w:val="007D2098"/>
    <w:rsid w:val="007D2810"/>
    <w:rsid w:val="007D2E5B"/>
    <w:rsid w:val="007D3FC8"/>
    <w:rsid w:val="007D4A3E"/>
    <w:rsid w:val="007D546A"/>
    <w:rsid w:val="007E0726"/>
    <w:rsid w:val="007E0ABF"/>
    <w:rsid w:val="007E2B4F"/>
    <w:rsid w:val="007E4179"/>
    <w:rsid w:val="007E42DC"/>
    <w:rsid w:val="007E7C79"/>
    <w:rsid w:val="007F0072"/>
    <w:rsid w:val="007F1285"/>
    <w:rsid w:val="007F2104"/>
    <w:rsid w:val="007F24F3"/>
    <w:rsid w:val="007F33C0"/>
    <w:rsid w:val="007F6C7C"/>
    <w:rsid w:val="007F74E7"/>
    <w:rsid w:val="007F76E8"/>
    <w:rsid w:val="00802439"/>
    <w:rsid w:val="008035C9"/>
    <w:rsid w:val="00804F58"/>
    <w:rsid w:val="00807694"/>
    <w:rsid w:val="00811D11"/>
    <w:rsid w:val="00812EC8"/>
    <w:rsid w:val="00814381"/>
    <w:rsid w:val="0081547E"/>
    <w:rsid w:val="00816959"/>
    <w:rsid w:val="008178BE"/>
    <w:rsid w:val="00817A39"/>
    <w:rsid w:val="00820FDD"/>
    <w:rsid w:val="00822A05"/>
    <w:rsid w:val="00822E78"/>
    <w:rsid w:val="008236A2"/>
    <w:rsid w:val="0082370F"/>
    <w:rsid w:val="00823C69"/>
    <w:rsid w:val="0082502A"/>
    <w:rsid w:val="00825A32"/>
    <w:rsid w:val="00827103"/>
    <w:rsid w:val="00830653"/>
    <w:rsid w:val="00830E54"/>
    <w:rsid w:val="00830F44"/>
    <w:rsid w:val="008317B8"/>
    <w:rsid w:val="00832924"/>
    <w:rsid w:val="0083324A"/>
    <w:rsid w:val="008335CA"/>
    <w:rsid w:val="00833C54"/>
    <w:rsid w:val="00834140"/>
    <w:rsid w:val="00834908"/>
    <w:rsid w:val="00834FC2"/>
    <w:rsid w:val="00835FB7"/>
    <w:rsid w:val="00841819"/>
    <w:rsid w:val="00841EDE"/>
    <w:rsid w:val="0084259D"/>
    <w:rsid w:val="0084272B"/>
    <w:rsid w:val="0085158B"/>
    <w:rsid w:val="00851856"/>
    <w:rsid w:val="00853BAB"/>
    <w:rsid w:val="00853F89"/>
    <w:rsid w:val="008556DB"/>
    <w:rsid w:val="008559A8"/>
    <w:rsid w:val="0085656F"/>
    <w:rsid w:val="0085708F"/>
    <w:rsid w:val="00860DB5"/>
    <w:rsid w:val="00860EF9"/>
    <w:rsid w:val="00861A07"/>
    <w:rsid w:val="008626EA"/>
    <w:rsid w:val="00862AFD"/>
    <w:rsid w:val="00863782"/>
    <w:rsid w:val="00864E76"/>
    <w:rsid w:val="008654F2"/>
    <w:rsid w:val="00866941"/>
    <w:rsid w:val="00867ECC"/>
    <w:rsid w:val="008702C3"/>
    <w:rsid w:val="008737BF"/>
    <w:rsid w:val="00874633"/>
    <w:rsid w:val="00875B13"/>
    <w:rsid w:val="00875C2A"/>
    <w:rsid w:val="00875F81"/>
    <w:rsid w:val="00876426"/>
    <w:rsid w:val="00876E25"/>
    <w:rsid w:val="00877D0C"/>
    <w:rsid w:val="0088029D"/>
    <w:rsid w:val="00881CB3"/>
    <w:rsid w:val="008823B7"/>
    <w:rsid w:val="00883019"/>
    <w:rsid w:val="0088421D"/>
    <w:rsid w:val="008850D0"/>
    <w:rsid w:val="00885153"/>
    <w:rsid w:val="00885D9F"/>
    <w:rsid w:val="008869F6"/>
    <w:rsid w:val="00886C55"/>
    <w:rsid w:val="00887FB7"/>
    <w:rsid w:val="008908AF"/>
    <w:rsid w:val="008945D5"/>
    <w:rsid w:val="00894878"/>
    <w:rsid w:val="00895232"/>
    <w:rsid w:val="008956A9"/>
    <w:rsid w:val="00895A81"/>
    <w:rsid w:val="00895F15"/>
    <w:rsid w:val="00896BF8"/>
    <w:rsid w:val="008A0F6D"/>
    <w:rsid w:val="008A12AF"/>
    <w:rsid w:val="008A1403"/>
    <w:rsid w:val="008A1612"/>
    <w:rsid w:val="008A258D"/>
    <w:rsid w:val="008A2D5A"/>
    <w:rsid w:val="008A2F1A"/>
    <w:rsid w:val="008A330E"/>
    <w:rsid w:val="008A373F"/>
    <w:rsid w:val="008A5123"/>
    <w:rsid w:val="008A7B8F"/>
    <w:rsid w:val="008B2D24"/>
    <w:rsid w:val="008B2FAC"/>
    <w:rsid w:val="008B3191"/>
    <w:rsid w:val="008B3268"/>
    <w:rsid w:val="008B4188"/>
    <w:rsid w:val="008B45D4"/>
    <w:rsid w:val="008B6F1A"/>
    <w:rsid w:val="008C0D37"/>
    <w:rsid w:val="008C1D7A"/>
    <w:rsid w:val="008C2166"/>
    <w:rsid w:val="008C4F50"/>
    <w:rsid w:val="008C60EF"/>
    <w:rsid w:val="008C7432"/>
    <w:rsid w:val="008D08CF"/>
    <w:rsid w:val="008D0B8D"/>
    <w:rsid w:val="008D0FCC"/>
    <w:rsid w:val="008D1C31"/>
    <w:rsid w:val="008D36DC"/>
    <w:rsid w:val="008D5CB6"/>
    <w:rsid w:val="008D66E4"/>
    <w:rsid w:val="008D7D50"/>
    <w:rsid w:val="008D7F92"/>
    <w:rsid w:val="008E056E"/>
    <w:rsid w:val="008E3C3F"/>
    <w:rsid w:val="008E5CB6"/>
    <w:rsid w:val="008E61B6"/>
    <w:rsid w:val="008E6CE7"/>
    <w:rsid w:val="008E729C"/>
    <w:rsid w:val="008F1964"/>
    <w:rsid w:val="008F1B57"/>
    <w:rsid w:val="008F2F15"/>
    <w:rsid w:val="008F55D9"/>
    <w:rsid w:val="008F5C7F"/>
    <w:rsid w:val="008F5E78"/>
    <w:rsid w:val="008F7C30"/>
    <w:rsid w:val="008F7F10"/>
    <w:rsid w:val="00901B9E"/>
    <w:rsid w:val="00902BC5"/>
    <w:rsid w:val="00904636"/>
    <w:rsid w:val="0090663D"/>
    <w:rsid w:val="00911213"/>
    <w:rsid w:val="00912209"/>
    <w:rsid w:val="009129E3"/>
    <w:rsid w:val="00915540"/>
    <w:rsid w:val="00915D72"/>
    <w:rsid w:val="00916580"/>
    <w:rsid w:val="00917AAF"/>
    <w:rsid w:val="0092189B"/>
    <w:rsid w:val="00921DFD"/>
    <w:rsid w:val="00921FF6"/>
    <w:rsid w:val="009246DE"/>
    <w:rsid w:val="0092493B"/>
    <w:rsid w:val="00924C9E"/>
    <w:rsid w:val="0092587B"/>
    <w:rsid w:val="0092646A"/>
    <w:rsid w:val="00926650"/>
    <w:rsid w:val="00927CC0"/>
    <w:rsid w:val="00931A84"/>
    <w:rsid w:val="0093205C"/>
    <w:rsid w:val="00941227"/>
    <w:rsid w:val="009417D0"/>
    <w:rsid w:val="00942313"/>
    <w:rsid w:val="009440F2"/>
    <w:rsid w:val="00944DB7"/>
    <w:rsid w:val="00945831"/>
    <w:rsid w:val="00947607"/>
    <w:rsid w:val="00947F0B"/>
    <w:rsid w:val="00950496"/>
    <w:rsid w:val="0095157D"/>
    <w:rsid w:val="00952569"/>
    <w:rsid w:val="00952BDF"/>
    <w:rsid w:val="009541DF"/>
    <w:rsid w:val="0095453C"/>
    <w:rsid w:val="00955C8E"/>
    <w:rsid w:val="00955E36"/>
    <w:rsid w:val="00956111"/>
    <w:rsid w:val="00956217"/>
    <w:rsid w:val="00957149"/>
    <w:rsid w:val="009600C2"/>
    <w:rsid w:val="00960539"/>
    <w:rsid w:val="00960981"/>
    <w:rsid w:val="00961CA2"/>
    <w:rsid w:val="009624D3"/>
    <w:rsid w:val="00962E66"/>
    <w:rsid w:val="00963CD5"/>
    <w:rsid w:val="00964708"/>
    <w:rsid w:val="009654D7"/>
    <w:rsid w:val="0097101B"/>
    <w:rsid w:val="00971142"/>
    <w:rsid w:val="00972807"/>
    <w:rsid w:val="00973270"/>
    <w:rsid w:val="00973BB7"/>
    <w:rsid w:val="009744DA"/>
    <w:rsid w:val="009749D2"/>
    <w:rsid w:val="0097546D"/>
    <w:rsid w:val="00975B00"/>
    <w:rsid w:val="00975C9B"/>
    <w:rsid w:val="009766B0"/>
    <w:rsid w:val="009770B5"/>
    <w:rsid w:val="009779A4"/>
    <w:rsid w:val="009813B3"/>
    <w:rsid w:val="009814D6"/>
    <w:rsid w:val="00981805"/>
    <w:rsid w:val="0098322B"/>
    <w:rsid w:val="00983B67"/>
    <w:rsid w:val="009875F0"/>
    <w:rsid w:val="009906F5"/>
    <w:rsid w:val="00990D3E"/>
    <w:rsid w:val="00991D6E"/>
    <w:rsid w:val="00993131"/>
    <w:rsid w:val="009939A6"/>
    <w:rsid w:val="00996241"/>
    <w:rsid w:val="00996244"/>
    <w:rsid w:val="009964F8"/>
    <w:rsid w:val="00996716"/>
    <w:rsid w:val="00997C51"/>
    <w:rsid w:val="009A056A"/>
    <w:rsid w:val="009A0B67"/>
    <w:rsid w:val="009A2C61"/>
    <w:rsid w:val="009A32E7"/>
    <w:rsid w:val="009A4EF8"/>
    <w:rsid w:val="009A59A5"/>
    <w:rsid w:val="009A6836"/>
    <w:rsid w:val="009A79B3"/>
    <w:rsid w:val="009A7CC2"/>
    <w:rsid w:val="009B0663"/>
    <w:rsid w:val="009B0D37"/>
    <w:rsid w:val="009B16B0"/>
    <w:rsid w:val="009B3775"/>
    <w:rsid w:val="009B53E8"/>
    <w:rsid w:val="009B59D8"/>
    <w:rsid w:val="009B5B70"/>
    <w:rsid w:val="009B620E"/>
    <w:rsid w:val="009B7A92"/>
    <w:rsid w:val="009C0038"/>
    <w:rsid w:val="009C04F6"/>
    <w:rsid w:val="009C2019"/>
    <w:rsid w:val="009C343D"/>
    <w:rsid w:val="009C5344"/>
    <w:rsid w:val="009C5E88"/>
    <w:rsid w:val="009D07BC"/>
    <w:rsid w:val="009D17A0"/>
    <w:rsid w:val="009D4002"/>
    <w:rsid w:val="009D46C7"/>
    <w:rsid w:val="009D6A2E"/>
    <w:rsid w:val="009D7CDC"/>
    <w:rsid w:val="009E1AE8"/>
    <w:rsid w:val="009E1C72"/>
    <w:rsid w:val="009E1EF2"/>
    <w:rsid w:val="009E3942"/>
    <w:rsid w:val="009E45C5"/>
    <w:rsid w:val="009E4617"/>
    <w:rsid w:val="009E50A6"/>
    <w:rsid w:val="009E6115"/>
    <w:rsid w:val="009E638E"/>
    <w:rsid w:val="009E67C3"/>
    <w:rsid w:val="009E686D"/>
    <w:rsid w:val="009E7BC1"/>
    <w:rsid w:val="009F1407"/>
    <w:rsid w:val="009F1D89"/>
    <w:rsid w:val="009F2F9C"/>
    <w:rsid w:val="009F3102"/>
    <w:rsid w:val="009F3847"/>
    <w:rsid w:val="009F413B"/>
    <w:rsid w:val="009F4645"/>
    <w:rsid w:val="009F6199"/>
    <w:rsid w:val="009F7BD9"/>
    <w:rsid w:val="009F7C0A"/>
    <w:rsid w:val="00A005A9"/>
    <w:rsid w:val="00A00AD4"/>
    <w:rsid w:val="00A0130D"/>
    <w:rsid w:val="00A02B0A"/>
    <w:rsid w:val="00A05445"/>
    <w:rsid w:val="00A0545A"/>
    <w:rsid w:val="00A05B9B"/>
    <w:rsid w:val="00A05BF3"/>
    <w:rsid w:val="00A07453"/>
    <w:rsid w:val="00A0797D"/>
    <w:rsid w:val="00A07DDD"/>
    <w:rsid w:val="00A11E55"/>
    <w:rsid w:val="00A120B8"/>
    <w:rsid w:val="00A120EB"/>
    <w:rsid w:val="00A12147"/>
    <w:rsid w:val="00A13FEB"/>
    <w:rsid w:val="00A14D79"/>
    <w:rsid w:val="00A15736"/>
    <w:rsid w:val="00A16F05"/>
    <w:rsid w:val="00A1717E"/>
    <w:rsid w:val="00A17EC6"/>
    <w:rsid w:val="00A2043A"/>
    <w:rsid w:val="00A21A9D"/>
    <w:rsid w:val="00A225CB"/>
    <w:rsid w:val="00A235D2"/>
    <w:rsid w:val="00A243EF"/>
    <w:rsid w:val="00A2443F"/>
    <w:rsid w:val="00A24C02"/>
    <w:rsid w:val="00A25366"/>
    <w:rsid w:val="00A25600"/>
    <w:rsid w:val="00A26B35"/>
    <w:rsid w:val="00A26E5F"/>
    <w:rsid w:val="00A2792B"/>
    <w:rsid w:val="00A27D65"/>
    <w:rsid w:val="00A33134"/>
    <w:rsid w:val="00A348F7"/>
    <w:rsid w:val="00A34F5D"/>
    <w:rsid w:val="00A40C40"/>
    <w:rsid w:val="00A4168A"/>
    <w:rsid w:val="00A4197B"/>
    <w:rsid w:val="00A422EF"/>
    <w:rsid w:val="00A443E3"/>
    <w:rsid w:val="00A45AA4"/>
    <w:rsid w:val="00A45D2F"/>
    <w:rsid w:val="00A5158F"/>
    <w:rsid w:val="00A520CC"/>
    <w:rsid w:val="00A53EF7"/>
    <w:rsid w:val="00A53FFC"/>
    <w:rsid w:val="00A54461"/>
    <w:rsid w:val="00A54478"/>
    <w:rsid w:val="00A55193"/>
    <w:rsid w:val="00A56DD7"/>
    <w:rsid w:val="00A571E3"/>
    <w:rsid w:val="00A605A0"/>
    <w:rsid w:val="00A61383"/>
    <w:rsid w:val="00A6373D"/>
    <w:rsid w:val="00A63802"/>
    <w:rsid w:val="00A639C4"/>
    <w:rsid w:val="00A63FCD"/>
    <w:rsid w:val="00A64A75"/>
    <w:rsid w:val="00A70EA7"/>
    <w:rsid w:val="00A71289"/>
    <w:rsid w:val="00A7166E"/>
    <w:rsid w:val="00A7225B"/>
    <w:rsid w:val="00A7267E"/>
    <w:rsid w:val="00A7325F"/>
    <w:rsid w:val="00A73A7E"/>
    <w:rsid w:val="00A775B2"/>
    <w:rsid w:val="00A80F7B"/>
    <w:rsid w:val="00A80F93"/>
    <w:rsid w:val="00A81DA9"/>
    <w:rsid w:val="00A83C83"/>
    <w:rsid w:val="00A8626E"/>
    <w:rsid w:val="00A86A2A"/>
    <w:rsid w:val="00A86CCC"/>
    <w:rsid w:val="00A86F12"/>
    <w:rsid w:val="00A8738B"/>
    <w:rsid w:val="00A877B4"/>
    <w:rsid w:val="00A87FC4"/>
    <w:rsid w:val="00A9049D"/>
    <w:rsid w:val="00A90528"/>
    <w:rsid w:val="00A908B6"/>
    <w:rsid w:val="00A93AD5"/>
    <w:rsid w:val="00A94192"/>
    <w:rsid w:val="00A943AF"/>
    <w:rsid w:val="00A94952"/>
    <w:rsid w:val="00A94980"/>
    <w:rsid w:val="00A96223"/>
    <w:rsid w:val="00A964FA"/>
    <w:rsid w:val="00A969FE"/>
    <w:rsid w:val="00A97324"/>
    <w:rsid w:val="00A97393"/>
    <w:rsid w:val="00A97400"/>
    <w:rsid w:val="00A974D0"/>
    <w:rsid w:val="00AA0863"/>
    <w:rsid w:val="00AA134F"/>
    <w:rsid w:val="00AA254B"/>
    <w:rsid w:val="00AA4D40"/>
    <w:rsid w:val="00AA4E0D"/>
    <w:rsid w:val="00AA5E82"/>
    <w:rsid w:val="00AA6287"/>
    <w:rsid w:val="00AB08DC"/>
    <w:rsid w:val="00AB0E7C"/>
    <w:rsid w:val="00AB1260"/>
    <w:rsid w:val="00AB162B"/>
    <w:rsid w:val="00AB2FDB"/>
    <w:rsid w:val="00AB5346"/>
    <w:rsid w:val="00AB561A"/>
    <w:rsid w:val="00AB729C"/>
    <w:rsid w:val="00AB7EBE"/>
    <w:rsid w:val="00AC0C25"/>
    <w:rsid w:val="00AC1CCF"/>
    <w:rsid w:val="00AC28E7"/>
    <w:rsid w:val="00AC3C2E"/>
    <w:rsid w:val="00AC70E8"/>
    <w:rsid w:val="00AD00DA"/>
    <w:rsid w:val="00AD037F"/>
    <w:rsid w:val="00AD044E"/>
    <w:rsid w:val="00AD173D"/>
    <w:rsid w:val="00AD22D1"/>
    <w:rsid w:val="00AD402F"/>
    <w:rsid w:val="00AD517F"/>
    <w:rsid w:val="00AD75E3"/>
    <w:rsid w:val="00AD7936"/>
    <w:rsid w:val="00AE0159"/>
    <w:rsid w:val="00AE0936"/>
    <w:rsid w:val="00AE2188"/>
    <w:rsid w:val="00AE23DE"/>
    <w:rsid w:val="00AE24A2"/>
    <w:rsid w:val="00AE385C"/>
    <w:rsid w:val="00AE39E4"/>
    <w:rsid w:val="00AE3F3A"/>
    <w:rsid w:val="00AE4055"/>
    <w:rsid w:val="00AE6523"/>
    <w:rsid w:val="00AE6604"/>
    <w:rsid w:val="00AE7A9C"/>
    <w:rsid w:val="00AF0553"/>
    <w:rsid w:val="00AF0572"/>
    <w:rsid w:val="00AF1EC1"/>
    <w:rsid w:val="00AF37FC"/>
    <w:rsid w:val="00AF580C"/>
    <w:rsid w:val="00AF6834"/>
    <w:rsid w:val="00AF6890"/>
    <w:rsid w:val="00AF6ABF"/>
    <w:rsid w:val="00B01729"/>
    <w:rsid w:val="00B01861"/>
    <w:rsid w:val="00B01961"/>
    <w:rsid w:val="00B02E07"/>
    <w:rsid w:val="00B0353D"/>
    <w:rsid w:val="00B03AD7"/>
    <w:rsid w:val="00B03B09"/>
    <w:rsid w:val="00B04608"/>
    <w:rsid w:val="00B055E0"/>
    <w:rsid w:val="00B05C5C"/>
    <w:rsid w:val="00B05DB2"/>
    <w:rsid w:val="00B076E3"/>
    <w:rsid w:val="00B079F4"/>
    <w:rsid w:val="00B121B6"/>
    <w:rsid w:val="00B134CB"/>
    <w:rsid w:val="00B135ED"/>
    <w:rsid w:val="00B13AE7"/>
    <w:rsid w:val="00B140ED"/>
    <w:rsid w:val="00B145A6"/>
    <w:rsid w:val="00B170F8"/>
    <w:rsid w:val="00B22EDA"/>
    <w:rsid w:val="00B22FEA"/>
    <w:rsid w:val="00B2375F"/>
    <w:rsid w:val="00B257BF"/>
    <w:rsid w:val="00B25843"/>
    <w:rsid w:val="00B259C6"/>
    <w:rsid w:val="00B260DA"/>
    <w:rsid w:val="00B26654"/>
    <w:rsid w:val="00B27317"/>
    <w:rsid w:val="00B31F2E"/>
    <w:rsid w:val="00B33C80"/>
    <w:rsid w:val="00B35225"/>
    <w:rsid w:val="00B36C42"/>
    <w:rsid w:val="00B374F9"/>
    <w:rsid w:val="00B4055B"/>
    <w:rsid w:val="00B4082B"/>
    <w:rsid w:val="00B40A57"/>
    <w:rsid w:val="00B40A94"/>
    <w:rsid w:val="00B41FAD"/>
    <w:rsid w:val="00B4286F"/>
    <w:rsid w:val="00B44A3E"/>
    <w:rsid w:val="00B452B0"/>
    <w:rsid w:val="00B47584"/>
    <w:rsid w:val="00B5235B"/>
    <w:rsid w:val="00B5267D"/>
    <w:rsid w:val="00B526BA"/>
    <w:rsid w:val="00B52B25"/>
    <w:rsid w:val="00B52DF4"/>
    <w:rsid w:val="00B53052"/>
    <w:rsid w:val="00B54457"/>
    <w:rsid w:val="00B55A18"/>
    <w:rsid w:val="00B55DA1"/>
    <w:rsid w:val="00B55EF3"/>
    <w:rsid w:val="00B61E43"/>
    <w:rsid w:val="00B620C0"/>
    <w:rsid w:val="00B63E00"/>
    <w:rsid w:val="00B65146"/>
    <w:rsid w:val="00B65F02"/>
    <w:rsid w:val="00B66710"/>
    <w:rsid w:val="00B71508"/>
    <w:rsid w:val="00B71D41"/>
    <w:rsid w:val="00B72190"/>
    <w:rsid w:val="00B731C2"/>
    <w:rsid w:val="00B73269"/>
    <w:rsid w:val="00B73AE4"/>
    <w:rsid w:val="00B7495E"/>
    <w:rsid w:val="00B759EF"/>
    <w:rsid w:val="00B80133"/>
    <w:rsid w:val="00B81372"/>
    <w:rsid w:val="00B8195D"/>
    <w:rsid w:val="00B8362F"/>
    <w:rsid w:val="00B83A88"/>
    <w:rsid w:val="00B851DF"/>
    <w:rsid w:val="00B868CF"/>
    <w:rsid w:val="00B8698C"/>
    <w:rsid w:val="00B9049D"/>
    <w:rsid w:val="00B9051A"/>
    <w:rsid w:val="00B91004"/>
    <w:rsid w:val="00B910F7"/>
    <w:rsid w:val="00B91512"/>
    <w:rsid w:val="00B927B0"/>
    <w:rsid w:val="00B93898"/>
    <w:rsid w:val="00B963D5"/>
    <w:rsid w:val="00B96D51"/>
    <w:rsid w:val="00BA08B9"/>
    <w:rsid w:val="00BA13E4"/>
    <w:rsid w:val="00BA1866"/>
    <w:rsid w:val="00BA1B21"/>
    <w:rsid w:val="00BA1D87"/>
    <w:rsid w:val="00BA1F77"/>
    <w:rsid w:val="00BA2276"/>
    <w:rsid w:val="00BA2480"/>
    <w:rsid w:val="00BA30D4"/>
    <w:rsid w:val="00BA73DC"/>
    <w:rsid w:val="00BB05C1"/>
    <w:rsid w:val="00BB06FA"/>
    <w:rsid w:val="00BB1EBC"/>
    <w:rsid w:val="00BB29A0"/>
    <w:rsid w:val="00BB2B82"/>
    <w:rsid w:val="00BB3451"/>
    <w:rsid w:val="00BB4244"/>
    <w:rsid w:val="00BB4D3B"/>
    <w:rsid w:val="00BB5C49"/>
    <w:rsid w:val="00BB66B5"/>
    <w:rsid w:val="00BB6CB1"/>
    <w:rsid w:val="00BB73FA"/>
    <w:rsid w:val="00BB7991"/>
    <w:rsid w:val="00BB7D33"/>
    <w:rsid w:val="00BC0B71"/>
    <w:rsid w:val="00BC1B51"/>
    <w:rsid w:val="00BC21A0"/>
    <w:rsid w:val="00BC6867"/>
    <w:rsid w:val="00BC7C27"/>
    <w:rsid w:val="00BD1D6A"/>
    <w:rsid w:val="00BD212E"/>
    <w:rsid w:val="00BD22D5"/>
    <w:rsid w:val="00BD36B6"/>
    <w:rsid w:val="00BD43AF"/>
    <w:rsid w:val="00BD44D2"/>
    <w:rsid w:val="00BD5E8D"/>
    <w:rsid w:val="00BD5EA0"/>
    <w:rsid w:val="00BD6E4C"/>
    <w:rsid w:val="00BD79E8"/>
    <w:rsid w:val="00BE00F9"/>
    <w:rsid w:val="00BE0A9F"/>
    <w:rsid w:val="00BE11F2"/>
    <w:rsid w:val="00BE277F"/>
    <w:rsid w:val="00BE2E09"/>
    <w:rsid w:val="00BE350F"/>
    <w:rsid w:val="00BE3623"/>
    <w:rsid w:val="00BE3B27"/>
    <w:rsid w:val="00BE4E24"/>
    <w:rsid w:val="00BE4EB0"/>
    <w:rsid w:val="00BE523B"/>
    <w:rsid w:val="00BE6618"/>
    <w:rsid w:val="00BE70C7"/>
    <w:rsid w:val="00BF14EF"/>
    <w:rsid w:val="00BF1F9F"/>
    <w:rsid w:val="00BF25E6"/>
    <w:rsid w:val="00BF26E7"/>
    <w:rsid w:val="00BF2D72"/>
    <w:rsid w:val="00BF37E0"/>
    <w:rsid w:val="00BF3C68"/>
    <w:rsid w:val="00BF550D"/>
    <w:rsid w:val="00BF5BA6"/>
    <w:rsid w:val="00C00BA7"/>
    <w:rsid w:val="00C00C6F"/>
    <w:rsid w:val="00C01B7A"/>
    <w:rsid w:val="00C0207E"/>
    <w:rsid w:val="00C06A7F"/>
    <w:rsid w:val="00C06BF8"/>
    <w:rsid w:val="00C06D55"/>
    <w:rsid w:val="00C06E94"/>
    <w:rsid w:val="00C10864"/>
    <w:rsid w:val="00C118C9"/>
    <w:rsid w:val="00C12065"/>
    <w:rsid w:val="00C12CD8"/>
    <w:rsid w:val="00C12EF5"/>
    <w:rsid w:val="00C14C5B"/>
    <w:rsid w:val="00C15E8A"/>
    <w:rsid w:val="00C16779"/>
    <w:rsid w:val="00C22E87"/>
    <w:rsid w:val="00C249A1"/>
    <w:rsid w:val="00C24A1D"/>
    <w:rsid w:val="00C25182"/>
    <w:rsid w:val="00C25B7A"/>
    <w:rsid w:val="00C2672D"/>
    <w:rsid w:val="00C26E52"/>
    <w:rsid w:val="00C26EBA"/>
    <w:rsid w:val="00C270BE"/>
    <w:rsid w:val="00C270D8"/>
    <w:rsid w:val="00C30B84"/>
    <w:rsid w:val="00C313B5"/>
    <w:rsid w:val="00C31B46"/>
    <w:rsid w:val="00C3224F"/>
    <w:rsid w:val="00C33C19"/>
    <w:rsid w:val="00C35F5C"/>
    <w:rsid w:val="00C3697B"/>
    <w:rsid w:val="00C37325"/>
    <w:rsid w:val="00C3753D"/>
    <w:rsid w:val="00C37607"/>
    <w:rsid w:val="00C430CB"/>
    <w:rsid w:val="00C43713"/>
    <w:rsid w:val="00C43725"/>
    <w:rsid w:val="00C43841"/>
    <w:rsid w:val="00C46E32"/>
    <w:rsid w:val="00C47140"/>
    <w:rsid w:val="00C47BCE"/>
    <w:rsid w:val="00C50F5F"/>
    <w:rsid w:val="00C51F48"/>
    <w:rsid w:val="00C550FF"/>
    <w:rsid w:val="00C55B92"/>
    <w:rsid w:val="00C55BA7"/>
    <w:rsid w:val="00C5727C"/>
    <w:rsid w:val="00C60545"/>
    <w:rsid w:val="00C60810"/>
    <w:rsid w:val="00C613E1"/>
    <w:rsid w:val="00C61762"/>
    <w:rsid w:val="00C61EC9"/>
    <w:rsid w:val="00C62CC6"/>
    <w:rsid w:val="00C63053"/>
    <w:rsid w:val="00C63C8E"/>
    <w:rsid w:val="00C647CE"/>
    <w:rsid w:val="00C65130"/>
    <w:rsid w:val="00C651D6"/>
    <w:rsid w:val="00C65655"/>
    <w:rsid w:val="00C66DAB"/>
    <w:rsid w:val="00C67013"/>
    <w:rsid w:val="00C671A2"/>
    <w:rsid w:val="00C67568"/>
    <w:rsid w:val="00C7069C"/>
    <w:rsid w:val="00C70C4B"/>
    <w:rsid w:val="00C71A1D"/>
    <w:rsid w:val="00C744D0"/>
    <w:rsid w:val="00C74787"/>
    <w:rsid w:val="00C74D9B"/>
    <w:rsid w:val="00C7597A"/>
    <w:rsid w:val="00C765BB"/>
    <w:rsid w:val="00C80A8D"/>
    <w:rsid w:val="00C84371"/>
    <w:rsid w:val="00C84823"/>
    <w:rsid w:val="00C85209"/>
    <w:rsid w:val="00C90401"/>
    <w:rsid w:val="00C90EB3"/>
    <w:rsid w:val="00C90F2F"/>
    <w:rsid w:val="00C92857"/>
    <w:rsid w:val="00C92D57"/>
    <w:rsid w:val="00C94980"/>
    <w:rsid w:val="00C949EA"/>
    <w:rsid w:val="00C95E6D"/>
    <w:rsid w:val="00C95F4E"/>
    <w:rsid w:val="00C963FE"/>
    <w:rsid w:val="00C96B3C"/>
    <w:rsid w:val="00C96F67"/>
    <w:rsid w:val="00C977D2"/>
    <w:rsid w:val="00CA051C"/>
    <w:rsid w:val="00CA0E58"/>
    <w:rsid w:val="00CA25F4"/>
    <w:rsid w:val="00CA2DCB"/>
    <w:rsid w:val="00CA50B9"/>
    <w:rsid w:val="00CA545C"/>
    <w:rsid w:val="00CA589B"/>
    <w:rsid w:val="00CA5BA4"/>
    <w:rsid w:val="00CA7F76"/>
    <w:rsid w:val="00CB0644"/>
    <w:rsid w:val="00CB2B03"/>
    <w:rsid w:val="00CB2CBF"/>
    <w:rsid w:val="00CB5AF5"/>
    <w:rsid w:val="00CB702C"/>
    <w:rsid w:val="00CC041D"/>
    <w:rsid w:val="00CC2010"/>
    <w:rsid w:val="00CC2247"/>
    <w:rsid w:val="00CC345F"/>
    <w:rsid w:val="00CC35A8"/>
    <w:rsid w:val="00CC3C77"/>
    <w:rsid w:val="00CC40A6"/>
    <w:rsid w:val="00CC422B"/>
    <w:rsid w:val="00CC5566"/>
    <w:rsid w:val="00CC79D9"/>
    <w:rsid w:val="00CC7A81"/>
    <w:rsid w:val="00CD1831"/>
    <w:rsid w:val="00CD1A8E"/>
    <w:rsid w:val="00CD211B"/>
    <w:rsid w:val="00CD2655"/>
    <w:rsid w:val="00CD2AC7"/>
    <w:rsid w:val="00CD555F"/>
    <w:rsid w:val="00CD5A1F"/>
    <w:rsid w:val="00CD66C0"/>
    <w:rsid w:val="00CD6AB2"/>
    <w:rsid w:val="00CD6CFE"/>
    <w:rsid w:val="00CE01F7"/>
    <w:rsid w:val="00CE0411"/>
    <w:rsid w:val="00CE169E"/>
    <w:rsid w:val="00CE1916"/>
    <w:rsid w:val="00CE1946"/>
    <w:rsid w:val="00CE5CF5"/>
    <w:rsid w:val="00CE65BE"/>
    <w:rsid w:val="00CF01E9"/>
    <w:rsid w:val="00CF1319"/>
    <w:rsid w:val="00CF14CF"/>
    <w:rsid w:val="00CF4829"/>
    <w:rsid w:val="00CF5819"/>
    <w:rsid w:val="00CF767F"/>
    <w:rsid w:val="00D00168"/>
    <w:rsid w:val="00D02985"/>
    <w:rsid w:val="00D03591"/>
    <w:rsid w:val="00D04A82"/>
    <w:rsid w:val="00D05CF7"/>
    <w:rsid w:val="00D062EC"/>
    <w:rsid w:val="00D06DA9"/>
    <w:rsid w:val="00D107B2"/>
    <w:rsid w:val="00D11D3B"/>
    <w:rsid w:val="00D125D1"/>
    <w:rsid w:val="00D13897"/>
    <w:rsid w:val="00D15042"/>
    <w:rsid w:val="00D150AA"/>
    <w:rsid w:val="00D15128"/>
    <w:rsid w:val="00D16F45"/>
    <w:rsid w:val="00D172D5"/>
    <w:rsid w:val="00D17432"/>
    <w:rsid w:val="00D174FC"/>
    <w:rsid w:val="00D206F7"/>
    <w:rsid w:val="00D20DE0"/>
    <w:rsid w:val="00D2153F"/>
    <w:rsid w:val="00D2216A"/>
    <w:rsid w:val="00D22BB2"/>
    <w:rsid w:val="00D23ECC"/>
    <w:rsid w:val="00D247E8"/>
    <w:rsid w:val="00D248BA"/>
    <w:rsid w:val="00D24E59"/>
    <w:rsid w:val="00D2621F"/>
    <w:rsid w:val="00D27319"/>
    <w:rsid w:val="00D27FAD"/>
    <w:rsid w:val="00D314EC"/>
    <w:rsid w:val="00D31AAA"/>
    <w:rsid w:val="00D33B6F"/>
    <w:rsid w:val="00D33C6E"/>
    <w:rsid w:val="00D33CC3"/>
    <w:rsid w:val="00D34DE9"/>
    <w:rsid w:val="00D3699A"/>
    <w:rsid w:val="00D36ED3"/>
    <w:rsid w:val="00D371A7"/>
    <w:rsid w:val="00D4117E"/>
    <w:rsid w:val="00D43619"/>
    <w:rsid w:val="00D449C3"/>
    <w:rsid w:val="00D4632D"/>
    <w:rsid w:val="00D467DD"/>
    <w:rsid w:val="00D46EEC"/>
    <w:rsid w:val="00D47328"/>
    <w:rsid w:val="00D47729"/>
    <w:rsid w:val="00D47BD0"/>
    <w:rsid w:val="00D47F4D"/>
    <w:rsid w:val="00D513E9"/>
    <w:rsid w:val="00D5152E"/>
    <w:rsid w:val="00D556E3"/>
    <w:rsid w:val="00D55AEC"/>
    <w:rsid w:val="00D563DE"/>
    <w:rsid w:val="00D56BFF"/>
    <w:rsid w:val="00D605EB"/>
    <w:rsid w:val="00D622AD"/>
    <w:rsid w:val="00D62EB1"/>
    <w:rsid w:val="00D64E52"/>
    <w:rsid w:val="00D64EBA"/>
    <w:rsid w:val="00D65CF7"/>
    <w:rsid w:val="00D666A3"/>
    <w:rsid w:val="00D67C33"/>
    <w:rsid w:val="00D67F08"/>
    <w:rsid w:val="00D71007"/>
    <w:rsid w:val="00D72000"/>
    <w:rsid w:val="00D73219"/>
    <w:rsid w:val="00D7335D"/>
    <w:rsid w:val="00D741AC"/>
    <w:rsid w:val="00D748F7"/>
    <w:rsid w:val="00D74C08"/>
    <w:rsid w:val="00D77AE9"/>
    <w:rsid w:val="00D8090B"/>
    <w:rsid w:val="00D82811"/>
    <w:rsid w:val="00D82859"/>
    <w:rsid w:val="00D8430D"/>
    <w:rsid w:val="00D85705"/>
    <w:rsid w:val="00D85D2D"/>
    <w:rsid w:val="00D8700A"/>
    <w:rsid w:val="00D87DEC"/>
    <w:rsid w:val="00D90ABF"/>
    <w:rsid w:val="00D90F55"/>
    <w:rsid w:val="00D9118E"/>
    <w:rsid w:val="00D91677"/>
    <w:rsid w:val="00D918EF"/>
    <w:rsid w:val="00D91FBA"/>
    <w:rsid w:val="00D92180"/>
    <w:rsid w:val="00D9251A"/>
    <w:rsid w:val="00D92AB3"/>
    <w:rsid w:val="00D9396C"/>
    <w:rsid w:val="00D94680"/>
    <w:rsid w:val="00D9509D"/>
    <w:rsid w:val="00D9514F"/>
    <w:rsid w:val="00DA145F"/>
    <w:rsid w:val="00DA4032"/>
    <w:rsid w:val="00DA4492"/>
    <w:rsid w:val="00DA461B"/>
    <w:rsid w:val="00DB08B4"/>
    <w:rsid w:val="00DB3061"/>
    <w:rsid w:val="00DB45F4"/>
    <w:rsid w:val="00DB493A"/>
    <w:rsid w:val="00DB4C0D"/>
    <w:rsid w:val="00DB69A5"/>
    <w:rsid w:val="00DB6E2D"/>
    <w:rsid w:val="00DC09A6"/>
    <w:rsid w:val="00DC144C"/>
    <w:rsid w:val="00DC1C84"/>
    <w:rsid w:val="00DC4AA4"/>
    <w:rsid w:val="00DC4B39"/>
    <w:rsid w:val="00DC558B"/>
    <w:rsid w:val="00DC5947"/>
    <w:rsid w:val="00DC60ED"/>
    <w:rsid w:val="00DD1064"/>
    <w:rsid w:val="00DD1640"/>
    <w:rsid w:val="00DD223C"/>
    <w:rsid w:val="00DD25A3"/>
    <w:rsid w:val="00DD4F28"/>
    <w:rsid w:val="00DD5663"/>
    <w:rsid w:val="00DD6620"/>
    <w:rsid w:val="00DD776C"/>
    <w:rsid w:val="00DD7CB4"/>
    <w:rsid w:val="00DE1152"/>
    <w:rsid w:val="00DE1A14"/>
    <w:rsid w:val="00DE3E5D"/>
    <w:rsid w:val="00DE5515"/>
    <w:rsid w:val="00DF0934"/>
    <w:rsid w:val="00DF0C60"/>
    <w:rsid w:val="00DF1646"/>
    <w:rsid w:val="00DF3783"/>
    <w:rsid w:val="00DF4266"/>
    <w:rsid w:val="00DF57CA"/>
    <w:rsid w:val="00DF644D"/>
    <w:rsid w:val="00DF6F72"/>
    <w:rsid w:val="00E01A1F"/>
    <w:rsid w:val="00E02BA7"/>
    <w:rsid w:val="00E02F88"/>
    <w:rsid w:val="00E04956"/>
    <w:rsid w:val="00E05233"/>
    <w:rsid w:val="00E0666C"/>
    <w:rsid w:val="00E10A99"/>
    <w:rsid w:val="00E11302"/>
    <w:rsid w:val="00E1247B"/>
    <w:rsid w:val="00E1311C"/>
    <w:rsid w:val="00E13771"/>
    <w:rsid w:val="00E1505C"/>
    <w:rsid w:val="00E15B2A"/>
    <w:rsid w:val="00E17D27"/>
    <w:rsid w:val="00E21EB3"/>
    <w:rsid w:val="00E23645"/>
    <w:rsid w:val="00E24DDC"/>
    <w:rsid w:val="00E25C8D"/>
    <w:rsid w:val="00E26C5D"/>
    <w:rsid w:val="00E277D1"/>
    <w:rsid w:val="00E344BA"/>
    <w:rsid w:val="00E351AE"/>
    <w:rsid w:val="00E35F39"/>
    <w:rsid w:val="00E35FD7"/>
    <w:rsid w:val="00E36DE9"/>
    <w:rsid w:val="00E373D0"/>
    <w:rsid w:val="00E37813"/>
    <w:rsid w:val="00E378A0"/>
    <w:rsid w:val="00E3792F"/>
    <w:rsid w:val="00E404BD"/>
    <w:rsid w:val="00E4156B"/>
    <w:rsid w:val="00E41604"/>
    <w:rsid w:val="00E43B8C"/>
    <w:rsid w:val="00E44493"/>
    <w:rsid w:val="00E446CB"/>
    <w:rsid w:val="00E44A82"/>
    <w:rsid w:val="00E459B4"/>
    <w:rsid w:val="00E4710D"/>
    <w:rsid w:val="00E47194"/>
    <w:rsid w:val="00E50D05"/>
    <w:rsid w:val="00E5121D"/>
    <w:rsid w:val="00E521AD"/>
    <w:rsid w:val="00E52BA4"/>
    <w:rsid w:val="00E53850"/>
    <w:rsid w:val="00E55421"/>
    <w:rsid w:val="00E55495"/>
    <w:rsid w:val="00E56D38"/>
    <w:rsid w:val="00E5723F"/>
    <w:rsid w:val="00E6041B"/>
    <w:rsid w:val="00E60B59"/>
    <w:rsid w:val="00E621CA"/>
    <w:rsid w:val="00E623DC"/>
    <w:rsid w:val="00E6390A"/>
    <w:rsid w:val="00E6440E"/>
    <w:rsid w:val="00E64A58"/>
    <w:rsid w:val="00E65065"/>
    <w:rsid w:val="00E659EC"/>
    <w:rsid w:val="00E65B64"/>
    <w:rsid w:val="00E70A5C"/>
    <w:rsid w:val="00E7178A"/>
    <w:rsid w:val="00E71A5E"/>
    <w:rsid w:val="00E72E38"/>
    <w:rsid w:val="00E7389C"/>
    <w:rsid w:val="00E73E18"/>
    <w:rsid w:val="00E73E6D"/>
    <w:rsid w:val="00E749C9"/>
    <w:rsid w:val="00E77EB9"/>
    <w:rsid w:val="00E816D0"/>
    <w:rsid w:val="00E81866"/>
    <w:rsid w:val="00E81A0E"/>
    <w:rsid w:val="00E82B37"/>
    <w:rsid w:val="00E8362A"/>
    <w:rsid w:val="00E83E53"/>
    <w:rsid w:val="00E84721"/>
    <w:rsid w:val="00E84FBA"/>
    <w:rsid w:val="00E84FBC"/>
    <w:rsid w:val="00E869D0"/>
    <w:rsid w:val="00E86AC8"/>
    <w:rsid w:val="00E871BE"/>
    <w:rsid w:val="00E912DA"/>
    <w:rsid w:val="00E93215"/>
    <w:rsid w:val="00E948FB"/>
    <w:rsid w:val="00E9523F"/>
    <w:rsid w:val="00E9575D"/>
    <w:rsid w:val="00E95EA2"/>
    <w:rsid w:val="00E96969"/>
    <w:rsid w:val="00E96B27"/>
    <w:rsid w:val="00EA078A"/>
    <w:rsid w:val="00EA0FB2"/>
    <w:rsid w:val="00EA37A9"/>
    <w:rsid w:val="00EA389A"/>
    <w:rsid w:val="00EA4A99"/>
    <w:rsid w:val="00EA4AF8"/>
    <w:rsid w:val="00EA4B46"/>
    <w:rsid w:val="00EA52A3"/>
    <w:rsid w:val="00EA56F4"/>
    <w:rsid w:val="00EA6DA8"/>
    <w:rsid w:val="00EA6E20"/>
    <w:rsid w:val="00EB061D"/>
    <w:rsid w:val="00EB145B"/>
    <w:rsid w:val="00EB34E3"/>
    <w:rsid w:val="00EB3CC4"/>
    <w:rsid w:val="00EB770B"/>
    <w:rsid w:val="00EC02CD"/>
    <w:rsid w:val="00EC0634"/>
    <w:rsid w:val="00EC0AAF"/>
    <w:rsid w:val="00EC0FB8"/>
    <w:rsid w:val="00EC2E8E"/>
    <w:rsid w:val="00EC2F4E"/>
    <w:rsid w:val="00EC37A3"/>
    <w:rsid w:val="00EC50B8"/>
    <w:rsid w:val="00EC62E5"/>
    <w:rsid w:val="00EC785F"/>
    <w:rsid w:val="00EC7D51"/>
    <w:rsid w:val="00ED0714"/>
    <w:rsid w:val="00ED10B4"/>
    <w:rsid w:val="00ED19FD"/>
    <w:rsid w:val="00ED242D"/>
    <w:rsid w:val="00ED30C4"/>
    <w:rsid w:val="00ED440F"/>
    <w:rsid w:val="00ED4E93"/>
    <w:rsid w:val="00ED5D9E"/>
    <w:rsid w:val="00EE0337"/>
    <w:rsid w:val="00EE03BE"/>
    <w:rsid w:val="00EE2D1C"/>
    <w:rsid w:val="00EE395E"/>
    <w:rsid w:val="00EE565F"/>
    <w:rsid w:val="00EE6D4C"/>
    <w:rsid w:val="00EE6F70"/>
    <w:rsid w:val="00EE7107"/>
    <w:rsid w:val="00EE7127"/>
    <w:rsid w:val="00EF00AF"/>
    <w:rsid w:val="00EF2036"/>
    <w:rsid w:val="00EF20D1"/>
    <w:rsid w:val="00EF34B4"/>
    <w:rsid w:val="00EF3676"/>
    <w:rsid w:val="00EF4B82"/>
    <w:rsid w:val="00EF4C27"/>
    <w:rsid w:val="00EF593D"/>
    <w:rsid w:val="00EF63E8"/>
    <w:rsid w:val="00EF7871"/>
    <w:rsid w:val="00EF79C5"/>
    <w:rsid w:val="00F00D0F"/>
    <w:rsid w:val="00F026FC"/>
    <w:rsid w:val="00F02FDF"/>
    <w:rsid w:val="00F03676"/>
    <w:rsid w:val="00F0695C"/>
    <w:rsid w:val="00F07436"/>
    <w:rsid w:val="00F0747B"/>
    <w:rsid w:val="00F11AD5"/>
    <w:rsid w:val="00F16228"/>
    <w:rsid w:val="00F169CA"/>
    <w:rsid w:val="00F16F4C"/>
    <w:rsid w:val="00F2054F"/>
    <w:rsid w:val="00F205BC"/>
    <w:rsid w:val="00F21C65"/>
    <w:rsid w:val="00F222DF"/>
    <w:rsid w:val="00F23068"/>
    <w:rsid w:val="00F240B8"/>
    <w:rsid w:val="00F24508"/>
    <w:rsid w:val="00F24A12"/>
    <w:rsid w:val="00F25AB9"/>
    <w:rsid w:val="00F273AC"/>
    <w:rsid w:val="00F33383"/>
    <w:rsid w:val="00F34007"/>
    <w:rsid w:val="00F34486"/>
    <w:rsid w:val="00F34B96"/>
    <w:rsid w:val="00F35E36"/>
    <w:rsid w:val="00F374A6"/>
    <w:rsid w:val="00F40434"/>
    <w:rsid w:val="00F42513"/>
    <w:rsid w:val="00F436D7"/>
    <w:rsid w:val="00F44C9D"/>
    <w:rsid w:val="00F45E31"/>
    <w:rsid w:val="00F45E49"/>
    <w:rsid w:val="00F46CFB"/>
    <w:rsid w:val="00F474E0"/>
    <w:rsid w:val="00F53977"/>
    <w:rsid w:val="00F53B66"/>
    <w:rsid w:val="00F563B9"/>
    <w:rsid w:val="00F57BD4"/>
    <w:rsid w:val="00F602D7"/>
    <w:rsid w:val="00F60671"/>
    <w:rsid w:val="00F6102D"/>
    <w:rsid w:val="00F610C0"/>
    <w:rsid w:val="00F61B7D"/>
    <w:rsid w:val="00F61D1D"/>
    <w:rsid w:val="00F61E91"/>
    <w:rsid w:val="00F6281C"/>
    <w:rsid w:val="00F650BF"/>
    <w:rsid w:val="00F65707"/>
    <w:rsid w:val="00F67537"/>
    <w:rsid w:val="00F725C4"/>
    <w:rsid w:val="00F72D33"/>
    <w:rsid w:val="00F72DDC"/>
    <w:rsid w:val="00F73538"/>
    <w:rsid w:val="00F766D9"/>
    <w:rsid w:val="00F76CF0"/>
    <w:rsid w:val="00F76E5E"/>
    <w:rsid w:val="00F7739A"/>
    <w:rsid w:val="00F80B6C"/>
    <w:rsid w:val="00F82179"/>
    <w:rsid w:val="00F82815"/>
    <w:rsid w:val="00F82A6D"/>
    <w:rsid w:val="00F843EA"/>
    <w:rsid w:val="00F872A5"/>
    <w:rsid w:val="00F87C28"/>
    <w:rsid w:val="00F9195B"/>
    <w:rsid w:val="00F91CE4"/>
    <w:rsid w:val="00F9282B"/>
    <w:rsid w:val="00F92F2E"/>
    <w:rsid w:val="00F92FFD"/>
    <w:rsid w:val="00F964CE"/>
    <w:rsid w:val="00F96556"/>
    <w:rsid w:val="00FA34C1"/>
    <w:rsid w:val="00FA36F3"/>
    <w:rsid w:val="00FA4010"/>
    <w:rsid w:val="00FA580F"/>
    <w:rsid w:val="00FA6599"/>
    <w:rsid w:val="00FB138E"/>
    <w:rsid w:val="00FB185F"/>
    <w:rsid w:val="00FB1DF2"/>
    <w:rsid w:val="00FB21C3"/>
    <w:rsid w:val="00FB2B10"/>
    <w:rsid w:val="00FB3183"/>
    <w:rsid w:val="00FB39A6"/>
    <w:rsid w:val="00FB40D4"/>
    <w:rsid w:val="00FB6F1F"/>
    <w:rsid w:val="00FB6FB2"/>
    <w:rsid w:val="00FB7B71"/>
    <w:rsid w:val="00FC0142"/>
    <w:rsid w:val="00FC094B"/>
    <w:rsid w:val="00FC139C"/>
    <w:rsid w:val="00FC21C6"/>
    <w:rsid w:val="00FC4369"/>
    <w:rsid w:val="00FC49FF"/>
    <w:rsid w:val="00FC75A4"/>
    <w:rsid w:val="00FC7CCD"/>
    <w:rsid w:val="00FD0CAC"/>
    <w:rsid w:val="00FD1C57"/>
    <w:rsid w:val="00FD384C"/>
    <w:rsid w:val="00FD5CAC"/>
    <w:rsid w:val="00FD607D"/>
    <w:rsid w:val="00FD6A15"/>
    <w:rsid w:val="00FE0B57"/>
    <w:rsid w:val="00FE28C6"/>
    <w:rsid w:val="00FE47C5"/>
    <w:rsid w:val="00FE4DA9"/>
    <w:rsid w:val="00FE5686"/>
    <w:rsid w:val="00FE6C6A"/>
    <w:rsid w:val="00FE6F9B"/>
    <w:rsid w:val="00FE7462"/>
    <w:rsid w:val="00FF0182"/>
    <w:rsid w:val="00FF275E"/>
    <w:rsid w:val="00FF5A4A"/>
    <w:rsid w:val="00FF6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 w:type="paragraph" w:styleId="NoSpacing">
    <w:name w:val="No Spacing"/>
    <w:uiPriority w:val="1"/>
    <w:qFormat/>
    <w:rsid w:val="007B7080"/>
    <w:pPr>
      <w:spacing w:after="0" w:line="240" w:lineRule="auto"/>
      <w:jc w:val="both"/>
    </w:pPr>
    <w:rPr>
      <w:rFonts w:ascii="Arial" w:eastAsia="Calibri" w:hAnsi="Arial" w:cs="Times New Roman"/>
      <w:sz w:val="20"/>
    </w:rPr>
  </w:style>
  <w:style w:type="table" w:styleId="TableGrid">
    <w:name w:val="Table Grid"/>
    <w:basedOn w:val="TableNormal"/>
    <w:uiPriority w:val="39"/>
    <w:rsid w:val="00D6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erc.ac.uk/publications/locational-signals-in-a-reformed-national-market-a-review-of-op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steel.org/electricity-pr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document/346661/downlo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ric.org/resources/briefing-note-grid-constraints-and-industrial-decarbo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6" ma:contentTypeDescription="Create a new document." ma:contentTypeScope="" ma:versionID="e4f80aef060c1f042dbb16519eadb9ac">
  <xsd:schema xmlns:xsd="http://www.w3.org/2001/XMLSchema" xmlns:xs="http://www.w3.org/2001/XMLSchema" xmlns:p="http://schemas.microsoft.com/office/2006/metadata/properties" xmlns:ns2="96c9852c-64e2-4411-bb5f-13601233feb5" targetNamespace="http://schemas.microsoft.com/office/2006/metadata/properties" ma:root="true" ma:fieldsID="0597d3a3150ecd281083892904db1fd3"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2.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customXml/itemProps3.xml><?xml version="1.0" encoding="utf-8"?>
<ds:datastoreItem xmlns:ds="http://schemas.openxmlformats.org/officeDocument/2006/customXml" ds:itemID="{51F12AAF-1C4D-48DB-9531-EB563BBC3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FEF88E-52E1-4CDD-9041-E078C397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2363</Words>
  <Characters>13189</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4</cp:revision>
  <dcterms:created xsi:type="dcterms:W3CDTF">2025-02-07T11:22:00Z</dcterms:created>
  <dcterms:modified xsi:type="dcterms:W3CDTF">2025-02-07T11:26:00Z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