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79B6" w14:textId="77777777" w:rsidR="00E93206" w:rsidRDefault="00E93206" w:rsidP="00A716E2">
      <w:pPr>
        <w:jc w:val="center"/>
        <w:rPr>
          <w:rFonts w:ascii="Arial" w:hAnsi="Arial" w:cs="Arial"/>
          <w:b/>
          <w:bCs/>
          <w:sz w:val="36"/>
          <w:szCs w:val="36"/>
        </w:rPr>
      </w:pPr>
    </w:p>
    <w:p w14:paraId="5ADC17EA" w14:textId="7CCA990F" w:rsidR="00116AE7" w:rsidRPr="0025687E" w:rsidRDefault="009A2B70" w:rsidP="009A2B70">
      <w:pPr>
        <w:jc w:val="center"/>
        <w:rPr>
          <w:rFonts w:ascii="Arial" w:hAnsi="Arial" w:cs="Arial"/>
          <w:b/>
          <w:bCs/>
          <w:sz w:val="36"/>
          <w:szCs w:val="36"/>
        </w:rPr>
      </w:pPr>
      <w:r>
        <w:rPr>
          <w:rFonts w:ascii="Arial" w:hAnsi="Arial" w:cs="Arial"/>
          <w:b/>
          <w:bCs/>
          <w:sz w:val="36"/>
          <w:szCs w:val="36"/>
        </w:rPr>
        <w:t xml:space="preserve">TWO-WAY CONTRACT-FOR-DIFFERENCE TO REDUCE </w:t>
      </w:r>
      <w:r w:rsidR="001749DF">
        <w:rPr>
          <w:rFonts w:ascii="Arial" w:hAnsi="Arial" w:cs="Arial"/>
          <w:b/>
          <w:bCs/>
          <w:sz w:val="36"/>
          <w:szCs w:val="36"/>
        </w:rPr>
        <w:t xml:space="preserve">WHOLESALE </w:t>
      </w:r>
      <w:r>
        <w:rPr>
          <w:rFonts w:ascii="Arial" w:hAnsi="Arial" w:cs="Arial"/>
          <w:b/>
          <w:bCs/>
          <w:sz w:val="36"/>
          <w:szCs w:val="36"/>
        </w:rPr>
        <w:t>ELECTRICITY PRICES</w:t>
      </w:r>
    </w:p>
    <w:p w14:paraId="722BFEF1" w14:textId="33E24D99" w:rsidR="0025687E" w:rsidRPr="00116AE7" w:rsidRDefault="00C04B1C" w:rsidP="00A716E2">
      <w:pPr>
        <w:jc w:val="center"/>
        <w:rPr>
          <w:rFonts w:ascii="Arial" w:hAnsi="Arial" w:cs="Arial"/>
          <w:b/>
          <w:bCs/>
          <w:sz w:val="28"/>
          <w:szCs w:val="28"/>
        </w:rPr>
      </w:pPr>
      <w:r w:rsidRPr="00116AE7">
        <w:rPr>
          <w:rFonts w:ascii="Arial" w:hAnsi="Arial" w:cs="Arial"/>
          <w:b/>
          <w:bCs/>
          <w:sz w:val="28"/>
          <w:szCs w:val="28"/>
        </w:rPr>
        <w:t>EIUG POSITION PAPER</w:t>
      </w:r>
    </w:p>
    <w:p w14:paraId="1F6432B9" w14:textId="25B37C57" w:rsidR="00C04B1C" w:rsidRPr="009A2B70" w:rsidRDefault="00C04B1C" w:rsidP="00E93206">
      <w:pPr>
        <w:jc w:val="both"/>
        <w:rPr>
          <w:rFonts w:cs="Arial"/>
          <w:b/>
          <w:bCs/>
          <w:sz w:val="24"/>
          <w:szCs w:val="24"/>
        </w:rPr>
      </w:pPr>
      <w:r w:rsidRPr="009A2B70">
        <w:rPr>
          <w:rFonts w:cs="Arial"/>
          <w:b/>
          <w:bCs/>
          <w:sz w:val="24"/>
          <w:szCs w:val="24"/>
        </w:rPr>
        <w:t>Introduction</w:t>
      </w:r>
    </w:p>
    <w:p w14:paraId="0AC185EA" w14:textId="59C1E123" w:rsidR="00B45EE2" w:rsidRPr="009A2B70" w:rsidRDefault="005C08A9" w:rsidP="00E93206">
      <w:pPr>
        <w:jc w:val="both"/>
        <w:rPr>
          <w:rFonts w:cs="Arial"/>
          <w:sz w:val="24"/>
          <w:szCs w:val="24"/>
        </w:rPr>
      </w:pPr>
      <w:r w:rsidRPr="009A2B70">
        <w:rPr>
          <w:rFonts w:cs="Arial"/>
          <w:sz w:val="24"/>
          <w:szCs w:val="24"/>
        </w:rPr>
        <w:t>Th</w:t>
      </w:r>
      <w:r w:rsidR="00B377DB">
        <w:rPr>
          <w:rFonts w:cs="Arial"/>
          <w:sz w:val="24"/>
          <w:szCs w:val="24"/>
        </w:rPr>
        <w:t>is</w:t>
      </w:r>
      <w:r w:rsidRPr="009A2B70">
        <w:rPr>
          <w:rFonts w:cs="Arial"/>
          <w:sz w:val="24"/>
          <w:szCs w:val="24"/>
        </w:rPr>
        <w:t xml:space="preserve"> position paper sets out the </w:t>
      </w:r>
      <w:r w:rsidR="00AE7024" w:rsidRPr="009A2B70">
        <w:rPr>
          <w:rFonts w:cs="Arial"/>
          <w:sz w:val="24"/>
          <w:szCs w:val="24"/>
        </w:rPr>
        <w:t xml:space="preserve">remaining </w:t>
      </w:r>
      <w:r w:rsidR="008D0F27" w:rsidRPr="009A2B70">
        <w:rPr>
          <w:rFonts w:cs="Arial"/>
          <w:sz w:val="24"/>
          <w:szCs w:val="24"/>
        </w:rPr>
        <w:t xml:space="preserve">issue of the wholesale electricity price differential between Great Britain and European countries that puts </w:t>
      </w:r>
      <w:r w:rsidR="0088464F" w:rsidRPr="009A2B70">
        <w:rPr>
          <w:rFonts w:cs="Arial"/>
          <w:sz w:val="24"/>
          <w:szCs w:val="24"/>
        </w:rPr>
        <w:t>GB energy intensive industries</w:t>
      </w:r>
      <w:r w:rsidR="00234D17" w:rsidRPr="009A2B70">
        <w:rPr>
          <w:rFonts w:cs="Arial"/>
          <w:sz w:val="24"/>
          <w:szCs w:val="24"/>
        </w:rPr>
        <w:t xml:space="preserve"> (EIIs)</w:t>
      </w:r>
      <w:r w:rsidR="0088464F" w:rsidRPr="009A2B70">
        <w:rPr>
          <w:rFonts w:cs="Arial"/>
          <w:sz w:val="24"/>
          <w:szCs w:val="24"/>
        </w:rPr>
        <w:t xml:space="preserve"> at a competitive disadvantage and propose</w:t>
      </w:r>
      <w:r w:rsidR="00E70E14" w:rsidRPr="009A2B70">
        <w:rPr>
          <w:rFonts w:cs="Arial"/>
          <w:sz w:val="24"/>
          <w:szCs w:val="24"/>
        </w:rPr>
        <w:t>s</w:t>
      </w:r>
      <w:r w:rsidR="0088464F" w:rsidRPr="009A2B70">
        <w:rPr>
          <w:rFonts w:cs="Arial"/>
          <w:sz w:val="24"/>
          <w:szCs w:val="24"/>
        </w:rPr>
        <w:t xml:space="preserve"> </w:t>
      </w:r>
      <w:r w:rsidR="00F6575A">
        <w:rPr>
          <w:rFonts w:cs="Arial"/>
          <w:sz w:val="24"/>
          <w:szCs w:val="24"/>
        </w:rPr>
        <w:t>a</w:t>
      </w:r>
      <w:r w:rsidR="0088464F" w:rsidRPr="009A2B70">
        <w:rPr>
          <w:rFonts w:cs="Arial"/>
          <w:sz w:val="24"/>
          <w:szCs w:val="24"/>
        </w:rPr>
        <w:t xml:space="preserve"> Two-Way Contract-for-Differ</w:t>
      </w:r>
      <w:r w:rsidR="00E70E14" w:rsidRPr="009A2B70">
        <w:rPr>
          <w:rFonts w:cs="Arial"/>
          <w:sz w:val="24"/>
          <w:szCs w:val="24"/>
        </w:rPr>
        <w:t>ence (</w:t>
      </w:r>
      <w:proofErr w:type="spellStart"/>
      <w:r w:rsidR="00E70E14" w:rsidRPr="009A2B70">
        <w:rPr>
          <w:rFonts w:cs="Arial"/>
          <w:sz w:val="24"/>
          <w:szCs w:val="24"/>
        </w:rPr>
        <w:t>CfD</w:t>
      </w:r>
      <w:proofErr w:type="spellEnd"/>
      <w:r w:rsidR="00E70E14" w:rsidRPr="009A2B70">
        <w:rPr>
          <w:rFonts w:cs="Arial"/>
          <w:sz w:val="24"/>
          <w:szCs w:val="24"/>
        </w:rPr>
        <w:t xml:space="preserve">) to resolve this issue. </w:t>
      </w:r>
      <w:r w:rsidR="001F2404" w:rsidRPr="009A2B70">
        <w:rPr>
          <w:rFonts w:cs="Arial"/>
          <w:sz w:val="24"/>
          <w:szCs w:val="24"/>
        </w:rPr>
        <w:t xml:space="preserve">The </w:t>
      </w:r>
      <w:r w:rsidR="00234D17" w:rsidRPr="009A2B70">
        <w:rPr>
          <w:rFonts w:cs="Arial"/>
          <w:sz w:val="24"/>
          <w:szCs w:val="24"/>
        </w:rPr>
        <w:t xml:space="preserve">Two-Way </w:t>
      </w:r>
      <w:proofErr w:type="spellStart"/>
      <w:r w:rsidR="001F2404" w:rsidRPr="009A2B70">
        <w:rPr>
          <w:rFonts w:cs="Arial"/>
          <w:sz w:val="24"/>
          <w:szCs w:val="24"/>
        </w:rPr>
        <w:t>CfD</w:t>
      </w:r>
      <w:proofErr w:type="spellEnd"/>
      <w:r w:rsidR="001F2404" w:rsidRPr="009A2B70">
        <w:rPr>
          <w:rFonts w:cs="Arial"/>
          <w:sz w:val="24"/>
          <w:szCs w:val="24"/>
        </w:rPr>
        <w:t xml:space="preserve"> reduce</w:t>
      </w:r>
      <w:r w:rsidR="00234D17" w:rsidRPr="009A2B70">
        <w:rPr>
          <w:rFonts w:cs="Arial"/>
          <w:sz w:val="24"/>
          <w:szCs w:val="24"/>
        </w:rPr>
        <w:t>s</w:t>
      </w:r>
      <w:r w:rsidR="001F2404" w:rsidRPr="009A2B70">
        <w:rPr>
          <w:rFonts w:cs="Arial"/>
          <w:sz w:val="24"/>
          <w:szCs w:val="24"/>
        </w:rPr>
        <w:t xml:space="preserve"> EIIs exposure to wholesale electricity prices by providing them with a</w:t>
      </w:r>
      <w:r w:rsidR="00803FF4">
        <w:rPr>
          <w:rFonts w:cs="Arial"/>
          <w:sz w:val="24"/>
          <w:szCs w:val="24"/>
        </w:rPr>
        <w:t>n agreed</w:t>
      </w:r>
      <w:r w:rsidR="001F2404" w:rsidRPr="009A2B70">
        <w:rPr>
          <w:rFonts w:cs="Arial"/>
          <w:sz w:val="24"/>
          <w:szCs w:val="24"/>
        </w:rPr>
        <w:t xml:space="preserve"> wholesale price achieving parity with the lowest wholesale electricity prices in relevant European countries.</w:t>
      </w:r>
      <w:r w:rsidR="00CF694A" w:rsidRPr="009A2B70">
        <w:rPr>
          <w:rFonts w:cs="Arial"/>
          <w:sz w:val="24"/>
          <w:szCs w:val="24"/>
        </w:rPr>
        <w:t xml:space="preserve"> The Government already has a governance structure in place</w:t>
      </w:r>
      <w:r w:rsidR="00597A79" w:rsidRPr="009A2B70">
        <w:rPr>
          <w:rFonts w:cs="Arial"/>
          <w:sz w:val="24"/>
          <w:szCs w:val="24"/>
        </w:rPr>
        <w:t xml:space="preserve"> to implement the proposal</w:t>
      </w:r>
      <w:r w:rsidR="00E77BB8" w:rsidRPr="009A2B70">
        <w:rPr>
          <w:rFonts w:cs="Arial"/>
          <w:sz w:val="24"/>
          <w:szCs w:val="24"/>
        </w:rPr>
        <w:t xml:space="preserve"> in </w:t>
      </w:r>
      <w:r w:rsidR="00CF694A" w:rsidRPr="009A2B70">
        <w:rPr>
          <w:rFonts w:cs="Arial"/>
          <w:sz w:val="24"/>
          <w:szCs w:val="24"/>
        </w:rPr>
        <w:t>less than a year.</w:t>
      </w:r>
      <w:r w:rsidR="000E5BCD" w:rsidRPr="009A2B70">
        <w:rPr>
          <w:rFonts w:cs="Arial"/>
          <w:sz w:val="24"/>
          <w:szCs w:val="24"/>
        </w:rPr>
        <w:t xml:space="preserve"> The EIUG </w:t>
      </w:r>
      <w:r w:rsidR="006958C8" w:rsidRPr="009A2B70">
        <w:rPr>
          <w:rFonts w:cs="Arial"/>
          <w:sz w:val="24"/>
          <w:szCs w:val="24"/>
        </w:rPr>
        <w:t xml:space="preserve">advocates for the Government to adopt the Two-Way CfD. </w:t>
      </w:r>
    </w:p>
    <w:p w14:paraId="07F18F23" w14:textId="77777777" w:rsidR="0073098E" w:rsidRDefault="0073098E" w:rsidP="00E93206">
      <w:pPr>
        <w:jc w:val="both"/>
        <w:rPr>
          <w:rFonts w:cs="Arial"/>
          <w:b/>
          <w:bCs/>
          <w:sz w:val="24"/>
          <w:szCs w:val="24"/>
        </w:rPr>
      </w:pPr>
    </w:p>
    <w:p w14:paraId="6768A25C" w14:textId="0BC7B82F" w:rsidR="00C04B1C" w:rsidRPr="009A2B70" w:rsidRDefault="00C04B1C" w:rsidP="00E93206">
      <w:pPr>
        <w:jc w:val="both"/>
        <w:rPr>
          <w:rFonts w:cs="Arial"/>
          <w:b/>
          <w:bCs/>
          <w:sz w:val="24"/>
          <w:szCs w:val="24"/>
        </w:rPr>
      </w:pPr>
      <w:r w:rsidRPr="009A2B70">
        <w:rPr>
          <w:rFonts w:cs="Arial"/>
          <w:b/>
          <w:bCs/>
          <w:sz w:val="24"/>
          <w:szCs w:val="24"/>
        </w:rPr>
        <w:t>Issue</w:t>
      </w:r>
    </w:p>
    <w:p w14:paraId="10E7337D" w14:textId="3F338E7F" w:rsidR="00AE635D" w:rsidRPr="009A2B70" w:rsidRDefault="00F27212" w:rsidP="00A716E2">
      <w:pPr>
        <w:jc w:val="both"/>
        <w:rPr>
          <w:rFonts w:cs="Arial"/>
          <w:sz w:val="24"/>
          <w:szCs w:val="24"/>
        </w:rPr>
      </w:pPr>
      <w:r w:rsidRPr="009A2B70">
        <w:rPr>
          <w:rFonts w:cs="Arial"/>
          <w:noProof/>
          <w:sz w:val="24"/>
          <w:szCs w:val="24"/>
        </w:rPr>
        <mc:AlternateContent>
          <mc:Choice Requires="wps">
            <w:drawing>
              <wp:anchor distT="45720" distB="45720" distL="114300" distR="114300" simplePos="0" relativeHeight="251660800" behindDoc="0" locked="0" layoutInCell="1" allowOverlap="1" wp14:anchorId="7ADF8183" wp14:editId="57475353">
                <wp:simplePos x="0" y="0"/>
                <wp:positionH relativeFrom="margin">
                  <wp:posOffset>2463800</wp:posOffset>
                </wp:positionH>
                <wp:positionV relativeFrom="paragraph">
                  <wp:posOffset>33655</wp:posOffset>
                </wp:positionV>
                <wp:extent cx="3410585" cy="4279900"/>
                <wp:effectExtent l="0" t="0" r="0" b="6350"/>
                <wp:wrapSquare wrapText="bothSides"/>
                <wp:docPr id="2125177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4279900"/>
                        </a:xfrm>
                        <a:prstGeom prst="rect">
                          <a:avLst/>
                        </a:prstGeom>
                        <a:solidFill>
                          <a:srgbClr val="FFFFFF"/>
                        </a:solidFill>
                        <a:ln w="9525">
                          <a:noFill/>
                          <a:miter lim="800000"/>
                          <a:headEnd/>
                          <a:tailEnd/>
                        </a:ln>
                      </wps:spPr>
                      <wps:txbx>
                        <w:txbxContent>
                          <w:p w14:paraId="1D22BD8B" w14:textId="0EEA94BD" w:rsidR="00E8146F" w:rsidRDefault="0084033A" w:rsidP="00E8146F">
                            <w:pPr>
                              <w:jc w:val="right"/>
                            </w:pPr>
                            <w:r w:rsidRPr="0084033A">
                              <w:rPr>
                                <w:noProof/>
                              </w:rPr>
                              <w:drawing>
                                <wp:inline distT="0" distB="0" distL="0" distR="0" wp14:anchorId="64730C9E" wp14:editId="10185B2E">
                                  <wp:extent cx="3218346" cy="4013200"/>
                                  <wp:effectExtent l="0" t="0" r="1270" b="6350"/>
                                  <wp:docPr id="560925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7850" cy="40250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F8183" id="_x0000_t202" coordsize="21600,21600" o:spt="202" path="m,l,21600r21600,l21600,xe">
                <v:stroke joinstyle="miter"/>
                <v:path gradientshapeok="t" o:connecttype="rect"/>
              </v:shapetype>
              <v:shape id="Text Box 2" o:spid="_x0000_s1026" type="#_x0000_t202" style="position:absolute;left:0;text-align:left;margin-left:194pt;margin-top:2.65pt;width:268.55pt;height:337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ctDg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" stroked="f">
                <v:textbox>
                  <w:txbxContent>
                    <w:p w14:paraId="1D22BD8B" w14:textId="0EEA94BD" w:rsidR="00E8146F" w:rsidRDefault="0084033A" w:rsidP="00E8146F">
                      <w:pPr>
                        <w:jc w:val="right"/>
                      </w:pPr>
                      <w:r w:rsidRPr="0084033A">
                        <w:rPr>
                          <w:noProof/>
                        </w:rPr>
                        <w:drawing>
                          <wp:inline distT="0" distB="0" distL="0" distR="0" wp14:anchorId="64730C9E" wp14:editId="10185B2E">
                            <wp:extent cx="3218346" cy="4013200"/>
                            <wp:effectExtent l="0" t="0" r="1270" b="6350"/>
                            <wp:docPr id="560925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7850" cy="4025052"/>
                                    </a:xfrm>
                                    <a:prstGeom prst="rect">
                                      <a:avLst/>
                                    </a:prstGeom>
                                    <a:noFill/>
                                    <a:ln>
                                      <a:noFill/>
                                    </a:ln>
                                  </pic:spPr>
                                </pic:pic>
                              </a:graphicData>
                            </a:graphic>
                          </wp:inline>
                        </w:drawing>
                      </w:r>
                    </w:p>
                  </w:txbxContent>
                </v:textbox>
                <w10:wrap type="square" anchorx="margin"/>
              </v:shape>
            </w:pict>
          </mc:Fallback>
        </mc:AlternateContent>
      </w:r>
      <w:r w:rsidR="009F3091" w:rsidRPr="009A2B70">
        <w:rPr>
          <w:rFonts w:cs="Arial"/>
          <w:sz w:val="24"/>
          <w:szCs w:val="24"/>
        </w:rPr>
        <w:t>The re</w:t>
      </w:r>
      <w:r w:rsidR="00E571B5" w:rsidRPr="009A2B70">
        <w:rPr>
          <w:rFonts w:cs="Arial"/>
          <w:sz w:val="24"/>
          <w:szCs w:val="24"/>
        </w:rPr>
        <w:t>moval of the indirect cost of levies and obligations on suppliers and compensation for up to 90% of network charge</w:t>
      </w:r>
      <w:r w:rsidR="00FB01D3">
        <w:rPr>
          <w:rFonts w:cs="Arial"/>
          <w:sz w:val="24"/>
          <w:szCs w:val="24"/>
        </w:rPr>
        <w:t>s</w:t>
      </w:r>
      <w:r w:rsidR="005226EA" w:rsidRPr="009A2B70">
        <w:rPr>
          <w:rFonts w:cs="Arial"/>
          <w:sz w:val="24"/>
          <w:szCs w:val="24"/>
        </w:rPr>
        <w:t xml:space="preserve"> have reduced</w:t>
      </w:r>
      <w:r w:rsidR="00E571B5" w:rsidRPr="009A2B70">
        <w:rPr>
          <w:rFonts w:cs="Arial"/>
          <w:sz w:val="24"/>
          <w:szCs w:val="24"/>
        </w:rPr>
        <w:t xml:space="preserve"> the industrial retail electricity price differential </w:t>
      </w:r>
      <w:r w:rsidR="005226EA" w:rsidRPr="009A2B70">
        <w:rPr>
          <w:rFonts w:cs="Arial"/>
          <w:sz w:val="24"/>
          <w:szCs w:val="24"/>
        </w:rPr>
        <w:t xml:space="preserve">between Great Britain and European countries. </w:t>
      </w:r>
      <w:r w:rsidR="00415CDB" w:rsidRPr="009A2B70">
        <w:rPr>
          <w:rFonts w:cs="Arial"/>
          <w:sz w:val="24"/>
          <w:szCs w:val="24"/>
        </w:rPr>
        <w:t xml:space="preserve">However, the differential has not reduced to zero and a significant </w:t>
      </w:r>
      <w:r w:rsidRPr="009A2B70">
        <w:rPr>
          <w:rFonts w:cs="Arial"/>
          <w:sz w:val="24"/>
          <w:szCs w:val="24"/>
        </w:rPr>
        <w:t xml:space="preserve">disparity </w:t>
      </w:r>
      <w:r w:rsidR="00415CDB" w:rsidRPr="009A2B70">
        <w:rPr>
          <w:rFonts w:cs="Arial"/>
          <w:sz w:val="24"/>
          <w:szCs w:val="24"/>
        </w:rPr>
        <w:t>remains, mainly due to wholesale electricity prices</w:t>
      </w:r>
      <w:r w:rsidR="00A40C88" w:rsidRPr="009A2B70">
        <w:rPr>
          <w:rFonts w:cs="Arial"/>
          <w:sz w:val="24"/>
          <w:szCs w:val="24"/>
        </w:rPr>
        <w:t xml:space="preserve"> – see figure </w:t>
      </w:r>
      <w:r w:rsidR="00C85C3C">
        <w:rPr>
          <w:rFonts w:cs="Arial"/>
          <w:sz w:val="24"/>
          <w:szCs w:val="24"/>
        </w:rPr>
        <w:t>on the right</w:t>
      </w:r>
      <w:r w:rsidR="00A40C88" w:rsidRPr="009A2B70">
        <w:rPr>
          <w:rFonts w:cs="Arial"/>
          <w:sz w:val="24"/>
          <w:szCs w:val="24"/>
        </w:rPr>
        <w:t xml:space="preserve"> from UK Steel</w:t>
      </w:r>
      <w:r w:rsidR="00367CD6" w:rsidRPr="009A2B70">
        <w:rPr>
          <w:rFonts w:cs="Arial"/>
          <w:sz w:val="24"/>
          <w:szCs w:val="24"/>
        </w:rPr>
        <w:t>’s industrial electricity prices report</w:t>
      </w:r>
      <w:r w:rsidR="006204FA" w:rsidRPr="009A2B70">
        <w:rPr>
          <w:rFonts w:cs="Arial"/>
          <w:sz w:val="24"/>
          <w:szCs w:val="24"/>
        </w:rPr>
        <w:t xml:space="preserve"> </w:t>
      </w:r>
      <w:r w:rsidR="00A40C88" w:rsidRPr="009A2B70">
        <w:rPr>
          <w:rFonts w:cs="Arial"/>
          <w:sz w:val="24"/>
          <w:szCs w:val="24"/>
        </w:rPr>
        <w:t>2025</w:t>
      </w:r>
      <w:r w:rsidR="00415CDB" w:rsidRPr="009A2B70">
        <w:rPr>
          <w:rFonts w:cs="Arial"/>
          <w:sz w:val="24"/>
          <w:szCs w:val="24"/>
        </w:rPr>
        <w:t xml:space="preserve">. </w:t>
      </w:r>
    </w:p>
    <w:p w14:paraId="6C03D68B" w14:textId="1702FA26" w:rsidR="00A56773" w:rsidRPr="009A2B70" w:rsidRDefault="00A56773" w:rsidP="00E93206">
      <w:pPr>
        <w:jc w:val="both"/>
        <w:rPr>
          <w:rFonts w:cs="Arial"/>
          <w:sz w:val="24"/>
          <w:szCs w:val="24"/>
        </w:rPr>
      </w:pPr>
      <w:r w:rsidRPr="009A2B70">
        <w:rPr>
          <w:rFonts w:cs="Arial"/>
          <w:sz w:val="24"/>
          <w:szCs w:val="24"/>
        </w:rPr>
        <w:t>The Baringa report for UK Steel states that “</w:t>
      </w:r>
      <w:r w:rsidRPr="009A2B70">
        <w:rPr>
          <w:rFonts w:cs="Arial"/>
          <w:i/>
          <w:iCs/>
          <w:sz w:val="24"/>
          <w:szCs w:val="24"/>
        </w:rPr>
        <w:t>the GB [wholesale electricity] market’s higher reliance on gas generation has driven higher power prices in recent years due to exposure to high wholesale gas prices. Despite significant growth in renewable generation, gas plant still sets the price most of the time with power prices therefore trending in line with wholesale gas prices</w:t>
      </w:r>
      <w:r w:rsidRPr="009A2B70">
        <w:rPr>
          <w:rFonts w:cs="Arial"/>
          <w:sz w:val="24"/>
          <w:szCs w:val="24"/>
        </w:rPr>
        <w:t>”.</w:t>
      </w:r>
    </w:p>
    <w:p w14:paraId="7C6321B2" w14:textId="77777777" w:rsidR="009A2B70" w:rsidRDefault="009A2B70" w:rsidP="00E93206">
      <w:pPr>
        <w:jc w:val="both"/>
        <w:rPr>
          <w:rFonts w:cs="Arial"/>
          <w:sz w:val="24"/>
          <w:szCs w:val="24"/>
        </w:rPr>
      </w:pPr>
    </w:p>
    <w:p w14:paraId="042C9F16" w14:textId="6C766E3C" w:rsidR="003A4FCB" w:rsidRPr="009A2B70" w:rsidRDefault="003A4FCB" w:rsidP="00E93206">
      <w:pPr>
        <w:jc w:val="both"/>
        <w:rPr>
          <w:rFonts w:cs="Arial"/>
          <w:sz w:val="24"/>
          <w:szCs w:val="24"/>
        </w:rPr>
      </w:pPr>
      <w:r w:rsidRPr="009A2B70">
        <w:rPr>
          <w:rFonts w:cs="Arial"/>
          <w:sz w:val="24"/>
          <w:szCs w:val="24"/>
        </w:rPr>
        <w:t>The first consultation on the review of electricity market arrangements (REMA) explore</w:t>
      </w:r>
      <w:r w:rsidR="00CC119C">
        <w:rPr>
          <w:rFonts w:cs="Arial"/>
          <w:sz w:val="24"/>
          <w:szCs w:val="24"/>
        </w:rPr>
        <w:t>d</w:t>
      </w:r>
      <w:r w:rsidRPr="009A2B70">
        <w:rPr>
          <w:rFonts w:cs="Arial"/>
          <w:sz w:val="24"/>
          <w:szCs w:val="24"/>
        </w:rPr>
        <w:t xml:space="preserve"> reforms that move away from marginal pricing – splitting the market and green power pool – but the second consultation on REMA rule</w:t>
      </w:r>
      <w:r w:rsidR="00CC119C">
        <w:rPr>
          <w:rFonts w:cs="Arial"/>
          <w:sz w:val="24"/>
          <w:szCs w:val="24"/>
        </w:rPr>
        <w:t>d</w:t>
      </w:r>
      <w:r w:rsidRPr="009A2B70">
        <w:rPr>
          <w:rFonts w:cs="Arial"/>
          <w:sz w:val="24"/>
          <w:szCs w:val="24"/>
        </w:rPr>
        <w:t xml:space="preserve"> out making any changes suggesting that renewables will be more and more on the margin</w:t>
      </w:r>
      <w:r w:rsidR="00F27212" w:rsidRPr="009A2B70">
        <w:rPr>
          <w:rFonts w:cs="Arial"/>
          <w:sz w:val="24"/>
          <w:szCs w:val="24"/>
        </w:rPr>
        <w:t>.</w:t>
      </w:r>
    </w:p>
    <w:p w14:paraId="3EC9B6E4" w14:textId="321889D6" w:rsidR="003A4FCB" w:rsidRPr="009A2B70" w:rsidRDefault="003A7535" w:rsidP="00E93206">
      <w:pPr>
        <w:jc w:val="both"/>
        <w:rPr>
          <w:rFonts w:cs="Arial"/>
          <w:i/>
          <w:iCs/>
          <w:sz w:val="24"/>
          <w:szCs w:val="24"/>
        </w:rPr>
      </w:pPr>
      <w:r w:rsidRPr="009A2B70">
        <w:rPr>
          <w:rFonts w:cs="Arial"/>
          <w:sz w:val="24"/>
          <w:szCs w:val="24"/>
        </w:rPr>
        <w:t>However, academic research</w:t>
      </w:r>
      <w:r w:rsidR="00C1241C" w:rsidRPr="009A2B70">
        <w:rPr>
          <w:rStyle w:val="FootnoteReference"/>
          <w:rFonts w:cs="Arial"/>
          <w:sz w:val="24"/>
          <w:szCs w:val="24"/>
        </w:rPr>
        <w:footnoteReference w:id="1"/>
      </w:r>
      <w:r w:rsidRPr="009A2B70">
        <w:rPr>
          <w:rFonts w:cs="Arial"/>
          <w:sz w:val="24"/>
          <w:szCs w:val="24"/>
        </w:rPr>
        <w:t xml:space="preserve"> points out that</w:t>
      </w:r>
      <w:r w:rsidR="00C1241C" w:rsidRPr="009A2B70">
        <w:rPr>
          <w:rFonts w:cs="Arial"/>
          <w:sz w:val="24"/>
          <w:szCs w:val="24"/>
        </w:rPr>
        <w:t>, “</w:t>
      </w:r>
      <w:r w:rsidR="00EE4909" w:rsidRPr="009A2B70">
        <w:rPr>
          <w:rFonts w:cs="Arial"/>
          <w:i/>
          <w:iCs/>
          <w:sz w:val="24"/>
          <w:szCs w:val="24"/>
        </w:rPr>
        <w:t>although in 2021 gas-fired power stations accounted for 43% of electricity generation in the UK, this</w:t>
      </w:r>
      <w:r w:rsidR="00C1241C" w:rsidRPr="009A2B70">
        <w:rPr>
          <w:rFonts w:cs="Arial"/>
          <w:i/>
          <w:iCs/>
          <w:sz w:val="24"/>
          <w:szCs w:val="24"/>
        </w:rPr>
        <w:t xml:space="preserve"> </w:t>
      </w:r>
      <w:r w:rsidR="00EE4909" w:rsidRPr="009A2B70">
        <w:rPr>
          <w:rFonts w:cs="Arial"/>
          <w:i/>
          <w:iCs/>
          <w:sz w:val="24"/>
          <w:szCs w:val="24"/>
        </w:rPr>
        <w:t>form of generation set the system price 97% of the time</w:t>
      </w:r>
      <w:r w:rsidR="00BA186B" w:rsidRPr="009A2B70">
        <w:rPr>
          <w:rFonts w:cs="Arial"/>
          <w:sz w:val="24"/>
          <w:szCs w:val="24"/>
        </w:rPr>
        <w:t xml:space="preserve">” which is unlikely to change significantly, let alone how </w:t>
      </w:r>
      <w:r w:rsidR="00CE203E" w:rsidRPr="009A2B70">
        <w:rPr>
          <w:rFonts w:cs="Arial"/>
          <w:sz w:val="24"/>
          <w:szCs w:val="24"/>
        </w:rPr>
        <w:t xml:space="preserve">an increase in renewables on the margin might be reflected in industrial retail electricity prices. </w:t>
      </w:r>
      <w:r w:rsidR="00A14F33" w:rsidRPr="009A2B70">
        <w:rPr>
          <w:rFonts w:cs="Arial"/>
          <w:sz w:val="24"/>
          <w:szCs w:val="24"/>
        </w:rPr>
        <w:t>The wholesale electricity price differential is therefore likely to persist</w:t>
      </w:r>
      <w:r w:rsidR="00C02519" w:rsidRPr="009A2B70">
        <w:rPr>
          <w:rFonts w:cs="Arial"/>
          <w:sz w:val="24"/>
          <w:szCs w:val="24"/>
        </w:rPr>
        <w:t xml:space="preserve">. </w:t>
      </w:r>
    </w:p>
    <w:p w14:paraId="272B7FC6" w14:textId="77777777" w:rsidR="009A2B70" w:rsidRDefault="009A2B70" w:rsidP="00E93206">
      <w:pPr>
        <w:jc w:val="both"/>
        <w:rPr>
          <w:rFonts w:cs="Arial"/>
          <w:b/>
          <w:bCs/>
          <w:sz w:val="24"/>
          <w:szCs w:val="24"/>
        </w:rPr>
      </w:pPr>
    </w:p>
    <w:p w14:paraId="646D6C85" w14:textId="60047C90" w:rsidR="0029234C" w:rsidRPr="009A2B70" w:rsidRDefault="0029234C" w:rsidP="00E93206">
      <w:pPr>
        <w:jc w:val="both"/>
        <w:rPr>
          <w:rFonts w:cs="Arial"/>
          <w:b/>
          <w:bCs/>
          <w:sz w:val="24"/>
          <w:szCs w:val="24"/>
        </w:rPr>
      </w:pPr>
      <w:r w:rsidRPr="009A2B70">
        <w:rPr>
          <w:rFonts w:cs="Arial"/>
          <w:b/>
          <w:bCs/>
          <w:sz w:val="24"/>
          <w:szCs w:val="24"/>
        </w:rPr>
        <w:t>Two-Way EII Contract-for-Difference (CfD)</w:t>
      </w:r>
    </w:p>
    <w:p w14:paraId="249683B2" w14:textId="695D2FF6" w:rsidR="003E3438" w:rsidRPr="009A2B70" w:rsidRDefault="0029234C" w:rsidP="00E93206">
      <w:pPr>
        <w:jc w:val="both"/>
        <w:rPr>
          <w:rFonts w:cs="Arial"/>
          <w:sz w:val="24"/>
          <w:szCs w:val="24"/>
        </w:rPr>
      </w:pPr>
      <w:r w:rsidRPr="009A2B70">
        <w:rPr>
          <w:rFonts w:cs="Arial"/>
          <w:sz w:val="24"/>
          <w:szCs w:val="24"/>
        </w:rPr>
        <w:t xml:space="preserve">The </w:t>
      </w:r>
      <w:r w:rsidR="00A6643F" w:rsidRPr="009A2B70">
        <w:rPr>
          <w:rFonts w:cs="Arial"/>
          <w:sz w:val="24"/>
          <w:szCs w:val="24"/>
        </w:rPr>
        <w:t>EIUG therefore proposes a two-way EII CfD. The</w:t>
      </w:r>
      <w:r w:rsidR="006161A9" w:rsidRPr="009A2B70">
        <w:rPr>
          <w:rFonts w:cs="Arial"/>
          <w:sz w:val="24"/>
          <w:szCs w:val="24"/>
        </w:rPr>
        <w:t xml:space="preserve"> </w:t>
      </w:r>
      <w:r w:rsidRPr="009A2B70">
        <w:rPr>
          <w:rFonts w:cs="Arial"/>
          <w:sz w:val="24"/>
          <w:szCs w:val="24"/>
        </w:rPr>
        <w:t xml:space="preserve">objective of </w:t>
      </w:r>
      <w:r w:rsidR="00A6643F" w:rsidRPr="009A2B70">
        <w:rPr>
          <w:rFonts w:cs="Arial"/>
          <w:sz w:val="24"/>
          <w:szCs w:val="24"/>
        </w:rPr>
        <w:t>this</w:t>
      </w:r>
      <w:r w:rsidRPr="009A2B70">
        <w:rPr>
          <w:rFonts w:cs="Arial"/>
          <w:sz w:val="24"/>
          <w:szCs w:val="24"/>
        </w:rPr>
        <w:t xml:space="preserve"> CfD is to reduce </w:t>
      </w:r>
      <w:r w:rsidR="007A286C" w:rsidRPr="009A2B70">
        <w:rPr>
          <w:rFonts w:cs="Arial"/>
          <w:sz w:val="24"/>
          <w:szCs w:val="24"/>
        </w:rPr>
        <w:t>EIIs</w:t>
      </w:r>
      <w:r w:rsidRPr="009A2B70">
        <w:rPr>
          <w:rFonts w:cs="Arial"/>
          <w:sz w:val="24"/>
          <w:szCs w:val="24"/>
        </w:rPr>
        <w:t xml:space="preserve"> exposure to wholesale electricity prices by providing them with a</w:t>
      </w:r>
      <w:r w:rsidR="000400E3">
        <w:rPr>
          <w:rFonts w:cs="Arial"/>
          <w:sz w:val="24"/>
          <w:szCs w:val="24"/>
        </w:rPr>
        <w:t>n agreed</w:t>
      </w:r>
      <w:r w:rsidRPr="009A2B70">
        <w:rPr>
          <w:rFonts w:cs="Arial"/>
          <w:sz w:val="24"/>
          <w:szCs w:val="24"/>
        </w:rPr>
        <w:t xml:space="preserve"> </w:t>
      </w:r>
      <w:r w:rsidR="007A286C" w:rsidRPr="009A2B70">
        <w:rPr>
          <w:rFonts w:cs="Arial"/>
          <w:sz w:val="24"/>
          <w:szCs w:val="24"/>
        </w:rPr>
        <w:t xml:space="preserve">wholesale </w:t>
      </w:r>
      <w:r w:rsidRPr="009A2B70">
        <w:rPr>
          <w:rFonts w:cs="Arial"/>
          <w:sz w:val="24"/>
          <w:szCs w:val="24"/>
        </w:rPr>
        <w:t>price achiev</w:t>
      </w:r>
      <w:r w:rsidR="0029332C" w:rsidRPr="009A2B70">
        <w:rPr>
          <w:rFonts w:cs="Arial"/>
          <w:sz w:val="24"/>
          <w:szCs w:val="24"/>
        </w:rPr>
        <w:t>ing</w:t>
      </w:r>
      <w:r w:rsidRPr="009A2B70">
        <w:rPr>
          <w:rFonts w:cs="Arial"/>
          <w:sz w:val="24"/>
          <w:szCs w:val="24"/>
        </w:rPr>
        <w:t xml:space="preserve"> parity with the lowest wholesale electricity price</w:t>
      </w:r>
      <w:r w:rsidR="0029332C" w:rsidRPr="009A2B70">
        <w:rPr>
          <w:rFonts w:cs="Arial"/>
          <w:sz w:val="24"/>
          <w:szCs w:val="24"/>
        </w:rPr>
        <w:t>s</w:t>
      </w:r>
      <w:r w:rsidRPr="009A2B70">
        <w:rPr>
          <w:rFonts w:cs="Arial"/>
          <w:sz w:val="24"/>
          <w:szCs w:val="24"/>
        </w:rPr>
        <w:t xml:space="preserve"> in relevant European countries. </w:t>
      </w:r>
    </w:p>
    <w:p w14:paraId="0ED2B267" w14:textId="3957AD10" w:rsidR="00E86ED5" w:rsidRPr="009A2B70" w:rsidRDefault="00AD5EAD" w:rsidP="00E93206">
      <w:pPr>
        <w:jc w:val="both"/>
        <w:rPr>
          <w:rFonts w:cs="Arial"/>
          <w:sz w:val="24"/>
          <w:szCs w:val="24"/>
        </w:rPr>
      </w:pPr>
      <w:r>
        <w:rPr>
          <w:rFonts w:cs="Arial"/>
          <w:sz w:val="24"/>
          <w:szCs w:val="24"/>
        </w:rPr>
        <w:t>When</w:t>
      </w:r>
      <w:r w:rsidR="00E86ED5" w:rsidRPr="009A2B70">
        <w:rPr>
          <w:rFonts w:cs="Arial"/>
          <w:sz w:val="24"/>
          <w:szCs w:val="24"/>
        </w:rPr>
        <w:t xml:space="preserve"> the wholesale market price is above a strike price, EIIs receive a payment from Government for the</w:t>
      </w:r>
      <w:r w:rsidR="000400E3">
        <w:rPr>
          <w:rFonts w:cs="Arial"/>
          <w:sz w:val="24"/>
          <w:szCs w:val="24"/>
        </w:rPr>
        <w:t xml:space="preserve"> difference</w:t>
      </w:r>
      <w:r w:rsidR="00E86ED5" w:rsidRPr="009A2B70">
        <w:rPr>
          <w:rFonts w:cs="Arial"/>
          <w:sz w:val="24"/>
          <w:szCs w:val="24"/>
        </w:rPr>
        <w:t xml:space="preserve"> between </w:t>
      </w:r>
      <w:r>
        <w:rPr>
          <w:rFonts w:cs="Arial"/>
          <w:sz w:val="24"/>
          <w:szCs w:val="24"/>
        </w:rPr>
        <w:t>the strike and wholesale</w:t>
      </w:r>
      <w:r w:rsidRPr="009A2B70">
        <w:rPr>
          <w:rFonts w:cs="Arial"/>
          <w:sz w:val="24"/>
          <w:szCs w:val="24"/>
        </w:rPr>
        <w:t xml:space="preserve"> </w:t>
      </w:r>
      <w:r w:rsidR="00E86ED5" w:rsidRPr="009A2B70">
        <w:rPr>
          <w:rFonts w:cs="Arial"/>
          <w:sz w:val="24"/>
          <w:szCs w:val="24"/>
        </w:rPr>
        <w:t>price</w:t>
      </w:r>
      <w:r>
        <w:rPr>
          <w:rFonts w:cs="Arial"/>
          <w:sz w:val="24"/>
          <w:szCs w:val="24"/>
        </w:rPr>
        <w:t xml:space="preserve">s. When </w:t>
      </w:r>
      <w:r w:rsidR="00E86ED5" w:rsidRPr="009A2B70">
        <w:rPr>
          <w:rFonts w:cs="Arial"/>
          <w:sz w:val="24"/>
          <w:szCs w:val="24"/>
        </w:rPr>
        <w:t>the market price is below the strike price</w:t>
      </w:r>
      <w:r>
        <w:rPr>
          <w:rFonts w:cs="Arial"/>
          <w:sz w:val="24"/>
          <w:szCs w:val="24"/>
        </w:rPr>
        <w:t xml:space="preserve">, EIIs pay the </w:t>
      </w:r>
      <w:r w:rsidR="00513ECF">
        <w:rPr>
          <w:rFonts w:cs="Arial"/>
          <w:sz w:val="24"/>
          <w:szCs w:val="24"/>
        </w:rPr>
        <w:t>Government the difference</w:t>
      </w:r>
      <w:r w:rsidR="006F3A0D">
        <w:rPr>
          <w:rFonts w:cs="Arial"/>
          <w:sz w:val="24"/>
          <w:szCs w:val="24"/>
        </w:rPr>
        <w:t>.</w:t>
      </w:r>
    </w:p>
    <w:p w14:paraId="07D1A040" w14:textId="77777777" w:rsidR="009A2B70" w:rsidRPr="009A2B70" w:rsidRDefault="009A2B70" w:rsidP="00A716E2">
      <w:pPr>
        <w:jc w:val="both"/>
        <w:rPr>
          <w:rFonts w:cs="Arial"/>
          <w:i/>
          <w:iCs/>
          <w:sz w:val="24"/>
          <w:szCs w:val="24"/>
        </w:rPr>
      </w:pPr>
    </w:p>
    <w:p w14:paraId="241C5BBC" w14:textId="3DBFF2C7" w:rsidR="00E93206" w:rsidRPr="009A2B70" w:rsidRDefault="00A716E2" w:rsidP="00A716E2">
      <w:pPr>
        <w:jc w:val="both"/>
        <w:rPr>
          <w:rFonts w:cs="Arial"/>
          <w:i/>
          <w:iCs/>
          <w:sz w:val="24"/>
          <w:szCs w:val="24"/>
        </w:rPr>
      </w:pPr>
      <w:r w:rsidRPr="009A2B70">
        <w:rPr>
          <w:rFonts w:cs="Arial"/>
          <w:i/>
          <w:iCs/>
          <w:sz w:val="24"/>
          <w:szCs w:val="24"/>
        </w:rPr>
        <w:t>Administration</w:t>
      </w:r>
    </w:p>
    <w:p w14:paraId="2F3B9734" w14:textId="22FD8A3E" w:rsidR="00F44AFA" w:rsidRPr="009A2B70" w:rsidRDefault="00E93206" w:rsidP="00A716E2">
      <w:pPr>
        <w:jc w:val="both"/>
        <w:rPr>
          <w:rFonts w:cs="Arial"/>
          <w:sz w:val="24"/>
          <w:szCs w:val="24"/>
        </w:rPr>
      </w:pPr>
      <w:r w:rsidRPr="009A2B70">
        <w:rPr>
          <w:i/>
          <w:iCs/>
          <w:noProof/>
          <w:sz w:val="24"/>
          <w:szCs w:val="24"/>
        </w:rPr>
        <mc:AlternateContent>
          <mc:Choice Requires="wps">
            <w:drawing>
              <wp:anchor distT="45720" distB="45720" distL="114300" distR="114300" simplePos="0" relativeHeight="251658752" behindDoc="0" locked="0" layoutInCell="1" allowOverlap="1" wp14:anchorId="421ABF63" wp14:editId="521A9F73">
                <wp:simplePos x="0" y="0"/>
                <wp:positionH relativeFrom="column">
                  <wp:posOffset>2425700</wp:posOffset>
                </wp:positionH>
                <wp:positionV relativeFrom="paragraph">
                  <wp:posOffset>5080</wp:posOffset>
                </wp:positionV>
                <wp:extent cx="3530600" cy="3003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3003550"/>
                        </a:xfrm>
                        <a:prstGeom prst="rect">
                          <a:avLst/>
                        </a:prstGeom>
                        <a:solidFill>
                          <a:srgbClr val="FFFFFF"/>
                        </a:solidFill>
                        <a:ln w="9525">
                          <a:noFill/>
                          <a:miter lim="800000"/>
                          <a:headEnd/>
                          <a:tailEnd/>
                        </a:ln>
                      </wps:spPr>
                      <wps:txbx>
                        <w:txbxContent>
                          <w:p w14:paraId="30C5AE85" w14:textId="56376C9D" w:rsidR="003E3438" w:rsidRDefault="00212978">
                            <w:r w:rsidRPr="00212978">
                              <w:rPr>
                                <w:noProof/>
                              </w:rPr>
                              <w:drawing>
                                <wp:inline distT="0" distB="0" distL="0" distR="0" wp14:anchorId="69EDE62F" wp14:editId="3BC09F13">
                                  <wp:extent cx="3355451" cy="2903220"/>
                                  <wp:effectExtent l="0" t="0" r="0" b="0"/>
                                  <wp:docPr id="7987411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1070" cy="29080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ABF63" id="_x0000_s1027" type="#_x0000_t202" style="position:absolute;left:0;text-align:left;margin-left:191pt;margin-top:.4pt;width:278pt;height:23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" stroked="f">
                <v:textbox>
                  <w:txbxContent>
                    <w:p w14:paraId="30C5AE85" w14:textId="56376C9D" w:rsidR="003E3438" w:rsidRDefault="00212978">
                      <w:r w:rsidRPr="00212978">
                        <w:rPr>
                          <w:noProof/>
                        </w:rPr>
                        <w:drawing>
                          <wp:inline distT="0" distB="0" distL="0" distR="0" wp14:anchorId="69EDE62F" wp14:editId="3BC09F13">
                            <wp:extent cx="3355451" cy="2903220"/>
                            <wp:effectExtent l="0" t="0" r="0" b="0"/>
                            <wp:docPr id="7987411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1070" cy="2908082"/>
                                    </a:xfrm>
                                    <a:prstGeom prst="rect">
                                      <a:avLst/>
                                    </a:prstGeom>
                                    <a:noFill/>
                                    <a:ln>
                                      <a:noFill/>
                                    </a:ln>
                                  </pic:spPr>
                                </pic:pic>
                              </a:graphicData>
                            </a:graphic>
                          </wp:inline>
                        </w:drawing>
                      </w:r>
                    </w:p>
                  </w:txbxContent>
                </v:textbox>
                <w10:wrap type="square"/>
              </v:shape>
            </w:pict>
          </mc:Fallback>
        </mc:AlternateContent>
      </w:r>
      <w:r w:rsidR="00F44AFA" w:rsidRPr="009A2B70">
        <w:rPr>
          <w:rFonts w:cs="Arial"/>
          <w:sz w:val="24"/>
          <w:szCs w:val="24"/>
        </w:rPr>
        <w:t xml:space="preserve">The Government could set the strike price based on </w:t>
      </w:r>
      <w:r w:rsidR="009C3DB5" w:rsidRPr="009A2B70">
        <w:rPr>
          <w:rFonts w:cs="Arial"/>
          <w:sz w:val="24"/>
          <w:szCs w:val="24"/>
        </w:rPr>
        <w:t xml:space="preserve">whichever </w:t>
      </w:r>
      <w:r w:rsidR="00155C0A">
        <w:rPr>
          <w:rFonts w:cs="Arial"/>
          <w:sz w:val="24"/>
          <w:szCs w:val="24"/>
        </w:rPr>
        <w:t>electricity</w:t>
      </w:r>
      <w:r w:rsidR="00155C0A" w:rsidRPr="009A2B70">
        <w:rPr>
          <w:rFonts w:cs="Arial"/>
          <w:sz w:val="24"/>
          <w:szCs w:val="24"/>
        </w:rPr>
        <w:t xml:space="preserve"> </w:t>
      </w:r>
      <w:r w:rsidR="009C3DB5" w:rsidRPr="009A2B70">
        <w:rPr>
          <w:rFonts w:cs="Arial"/>
          <w:sz w:val="24"/>
          <w:szCs w:val="24"/>
        </w:rPr>
        <w:t xml:space="preserve">price is lowest of a selection of </w:t>
      </w:r>
      <w:r w:rsidR="00F44AFA" w:rsidRPr="009A2B70">
        <w:rPr>
          <w:rFonts w:cs="Arial"/>
          <w:sz w:val="24"/>
          <w:szCs w:val="24"/>
        </w:rPr>
        <w:t>European countries</w:t>
      </w:r>
      <w:r w:rsidRPr="009A2B70">
        <w:rPr>
          <w:rFonts w:cs="Arial"/>
          <w:sz w:val="24"/>
          <w:szCs w:val="24"/>
        </w:rPr>
        <w:t>, for example,</w:t>
      </w:r>
      <w:r w:rsidR="00F44AFA" w:rsidRPr="009A2B70">
        <w:rPr>
          <w:rFonts w:cs="Arial"/>
          <w:sz w:val="24"/>
          <w:szCs w:val="24"/>
        </w:rPr>
        <w:t xml:space="preserve"> and review it </w:t>
      </w:r>
      <w:r w:rsidR="00513ECF">
        <w:rPr>
          <w:rFonts w:cs="Arial"/>
          <w:sz w:val="24"/>
          <w:szCs w:val="24"/>
        </w:rPr>
        <w:t>on</w:t>
      </w:r>
      <w:r w:rsidR="00F44AFA" w:rsidRPr="009A2B70">
        <w:rPr>
          <w:rFonts w:cs="Arial"/>
          <w:sz w:val="24"/>
          <w:szCs w:val="24"/>
        </w:rPr>
        <w:t xml:space="preserve"> </w:t>
      </w:r>
      <w:r w:rsidR="00F27212" w:rsidRPr="009A2B70">
        <w:rPr>
          <w:rFonts w:cs="Arial"/>
          <w:sz w:val="24"/>
          <w:szCs w:val="24"/>
        </w:rPr>
        <w:t xml:space="preserve">a quarterly basis </w:t>
      </w:r>
      <w:r w:rsidR="00F44AFA" w:rsidRPr="009A2B70">
        <w:rPr>
          <w:rFonts w:cs="Arial"/>
          <w:sz w:val="24"/>
          <w:szCs w:val="24"/>
        </w:rPr>
        <w:t xml:space="preserve">to reflect </w:t>
      </w:r>
      <w:r w:rsidRPr="009A2B70">
        <w:rPr>
          <w:rFonts w:cs="Arial"/>
          <w:sz w:val="24"/>
          <w:szCs w:val="24"/>
        </w:rPr>
        <w:t xml:space="preserve">any </w:t>
      </w:r>
      <w:r w:rsidR="00F44AFA" w:rsidRPr="009A2B70">
        <w:rPr>
          <w:rFonts w:cs="Arial"/>
          <w:sz w:val="24"/>
          <w:szCs w:val="24"/>
        </w:rPr>
        <w:t xml:space="preserve">changes. The calculation of the difference between the CfD strike price and market reference price could include an ex-post reconciliation at the end of each </w:t>
      </w:r>
      <w:r w:rsidR="00F27212" w:rsidRPr="009A2B70">
        <w:rPr>
          <w:rFonts w:cs="Arial"/>
          <w:sz w:val="24"/>
          <w:szCs w:val="24"/>
        </w:rPr>
        <w:t>quarter</w:t>
      </w:r>
      <w:r w:rsidR="00F44AFA" w:rsidRPr="009A2B70">
        <w:rPr>
          <w:rFonts w:cs="Arial"/>
          <w:sz w:val="24"/>
          <w:szCs w:val="24"/>
        </w:rPr>
        <w:t>.</w:t>
      </w:r>
      <w:r w:rsidR="00421498" w:rsidRPr="009A2B70">
        <w:rPr>
          <w:rFonts w:cs="Arial"/>
          <w:sz w:val="24"/>
          <w:szCs w:val="24"/>
        </w:rPr>
        <w:t xml:space="preserve"> The market reference prices can be calculated in the same way as for the renewable </w:t>
      </w:r>
      <w:r w:rsidR="0008719B" w:rsidRPr="009A2B70">
        <w:rPr>
          <w:rFonts w:cs="Arial"/>
          <w:sz w:val="24"/>
          <w:szCs w:val="24"/>
        </w:rPr>
        <w:t xml:space="preserve">CfD. </w:t>
      </w:r>
    </w:p>
    <w:p w14:paraId="6EC27BFD" w14:textId="77777777" w:rsidR="009A2B70" w:rsidRDefault="009A2B70" w:rsidP="009A2B70">
      <w:pPr>
        <w:jc w:val="both"/>
        <w:rPr>
          <w:rFonts w:cs="Arial"/>
          <w:sz w:val="24"/>
          <w:szCs w:val="24"/>
        </w:rPr>
      </w:pPr>
      <w:bookmarkStart w:id="0" w:name="_Hlk203575100"/>
    </w:p>
    <w:p w14:paraId="6DAC00CD" w14:textId="30EC27E0" w:rsidR="001B4C06" w:rsidRPr="009A2B70" w:rsidRDefault="00BC464B">
      <w:pPr>
        <w:jc w:val="both"/>
        <w:rPr>
          <w:rFonts w:cs="Arial"/>
          <w:sz w:val="24"/>
          <w:szCs w:val="24"/>
        </w:rPr>
      </w:pPr>
      <w:r w:rsidRPr="009A2B70">
        <w:rPr>
          <w:rFonts w:cs="Arial"/>
          <w:sz w:val="24"/>
          <w:szCs w:val="24"/>
        </w:rPr>
        <w:t xml:space="preserve">The Government already has a governance structure in place with the </w:t>
      </w:r>
      <w:r w:rsidR="001B4C06" w:rsidRPr="009A2B70">
        <w:rPr>
          <w:rFonts w:cs="Arial"/>
          <w:sz w:val="24"/>
          <w:szCs w:val="24"/>
        </w:rPr>
        <w:t>Low Carbon Contracts Company</w:t>
      </w:r>
      <w:r w:rsidRPr="009A2B70">
        <w:rPr>
          <w:rFonts w:cs="Arial"/>
          <w:sz w:val="24"/>
          <w:szCs w:val="24"/>
        </w:rPr>
        <w:t xml:space="preserve"> that administers</w:t>
      </w:r>
      <w:r w:rsidR="00E93206" w:rsidRPr="009A2B70">
        <w:rPr>
          <w:rFonts w:cs="Arial"/>
          <w:sz w:val="24"/>
          <w:szCs w:val="24"/>
        </w:rPr>
        <w:t xml:space="preserve"> </w:t>
      </w:r>
      <w:r w:rsidR="00F24158" w:rsidRPr="009A2B70">
        <w:rPr>
          <w:rFonts w:cs="Arial"/>
          <w:sz w:val="24"/>
          <w:szCs w:val="24"/>
        </w:rPr>
        <w:t>renewable</w:t>
      </w:r>
      <w:r w:rsidR="00E93206" w:rsidRPr="009A2B70">
        <w:rPr>
          <w:rFonts w:cs="Arial"/>
          <w:sz w:val="24"/>
          <w:szCs w:val="24"/>
        </w:rPr>
        <w:t xml:space="preserve"> </w:t>
      </w:r>
      <w:proofErr w:type="spellStart"/>
      <w:r w:rsidR="00E93206" w:rsidRPr="009A2B70">
        <w:rPr>
          <w:rFonts w:cs="Arial"/>
          <w:sz w:val="24"/>
          <w:szCs w:val="24"/>
        </w:rPr>
        <w:t>CfDs</w:t>
      </w:r>
      <w:proofErr w:type="spellEnd"/>
      <w:r w:rsidR="00F24158" w:rsidRPr="009A2B70">
        <w:rPr>
          <w:rFonts w:cs="Arial"/>
          <w:sz w:val="24"/>
          <w:szCs w:val="24"/>
        </w:rPr>
        <w:t xml:space="preserve">. </w:t>
      </w:r>
      <w:r w:rsidR="005D19A1" w:rsidRPr="009A2B70">
        <w:rPr>
          <w:rFonts w:cs="Arial"/>
          <w:sz w:val="24"/>
          <w:szCs w:val="24"/>
        </w:rPr>
        <w:t xml:space="preserve">Using the </w:t>
      </w:r>
      <w:r w:rsidR="00E93206" w:rsidRPr="009A2B70">
        <w:rPr>
          <w:rFonts w:cs="Arial"/>
          <w:sz w:val="24"/>
          <w:szCs w:val="24"/>
        </w:rPr>
        <w:t xml:space="preserve">LCCC </w:t>
      </w:r>
      <w:r w:rsidR="002A5C39" w:rsidRPr="009A2B70">
        <w:rPr>
          <w:rFonts w:cs="Arial"/>
          <w:sz w:val="24"/>
          <w:szCs w:val="24"/>
        </w:rPr>
        <w:t xml:space="preserve">will likely </w:t>
      </w:r>
      <w:r w:rsidR="005D19A1" w:rsidRPr="009A2B70">
        <w:rPr>
          <w:rFonts w:cs="Arial"/>
          <w:sz w:val="24"/>
          <w:szCs w:val="24"/>
        </w:rPr>
        <w:t xml:space="preserve">reduce the </w:t>
      </w:r>
      <w:r w:rsidR="00E93206" w:rsidRPr="009A2B70">
        <w:rPr>
          <w:rFonts w:cs="Arial"/>
          <w:sz w:val="24"/>
          <w:szCs w:val="24"/>
        </w:rPr>
        <w:t xml:space="preserve">time for </w:t>
      </w:r>
      <w:r w:rsidR="005D19A1" w:rsidRPr="009A2B70">
        <w:rPr>
          <w:rFonts w:cs="Arial"/>
          <w:sz w:val="24"/>
          <w:szCs w:val="24"/>
        </w:rPr>
        <w:t>implementation to less than a year.</w:t>
      </w:r>
      <w:r w:rsidR="00043740" w:rsidRPr="009A2B70">
        <w:rPr>
          <w:rFonts w:cs="Arial"/>
          <w:sz w:val="24"/>
          <w:szCs w:val="24"/>
        </w:rPr>
        <w:t xml:space="preserve"> </w:t>
      </w:r>
      <w:bookmarkEnd w:id="0"/>
      <w:r w:rsidR="002A5C39" w:rsidRPr="009A2B70">
        <w:rPr>
          <w:rFonts w:cs="Arial"/>
          <w:sz w:val="24"/>
          <w:szCs w:val="24"/>
        </w:rPr>
        <w:t>Furthermore, t</w:t>
      </w:r>
      <w:r w:rsidR="00ED3B4F" w:rsidRPr="009A2B70">
        <w:rPr>
          <w:rFonts w:cs="Arial"/>
          <w:sz w:val="24"/>
          <w:szCs w:val="24"/>
        </w:rPr>
        <w:t>here are no upfront capital requirements nor any technical and operational barriers to</w:t>
      </w:r>
      <w:r w:rsidR="002A5C39" w:rsidRPr="009A2B70">
        <w:rPr>
          <w:rFonts w:cs="Arial"/>
          <w:sz w:val="24"/>
          <w:szCs w:val="24"/>
        </w:rPr>
        <w:t xml:space="preserve"> implement </w:t>
      </w:r>
      <w:r w:rsidR="00043740" w:rsidRPr="009A2B70">
        <w:rPr>
          <w:rFonts w:cs="Arial"/>
          <w:sz w:val="24"/>
          <w:szCs w:val="24"/>
        </w:rPr>
        <w:t>a two-way EII CfD</w:t>
      </w:r>
      <w:r w:rsidR="00ED3B4F" w:rsidRPr="009A2B70">
        <w:rPr>
          <w:rFonts w:cs="Arial"/>
          <w:sz w:val="24"/>
          <w:szCs w:val="24"/>
        </w:rPr>
        <w:t>.</w:t>
      </w:r>
    </w:p>
    <w:p w14:paraId="51F0D89F" w14:textId="10D7B178" w:rsidR="00A716E2" w:rsidRPr="009A2B70" w:rsidRDefault="00A716E2" w:rsidP="00A716E2">
      <w:pPr>
        <w:jc w:val="both"/>
        <w:rPr>
          <w:rFonts w:cs="Arial"/>
          <w:sz w:val="24"/>
          <w:szCs w:val="24"/>
        </w:rPr>
      </w:pPr>
      <w:r w:rsidRPr="009A2B70">
        <w:rPr>
          <w:rFonts w:cs="Arial"/>
          <w:sz w:val="24"/>
          <w:szCs w:val="24"/>
        </w:rPr>
        <w:t xml:space="preserve">The  EIUG proposes that all energy intensive companies in eligible sectors for the EII renewable exemptions schemes are in scope of a two-way CfD. </w:t>
      </w:r>
    </w:p>
    <w:p w14:paraId="2954DBC2" w14:textId="37AAEF74" w:rsidR="005D65E9" w:rsidRPr="009A2B70" w:rsidRDefault="005D65E9" w:rsidP="00A716E2">
      <w:pPr>
        <w:jc w:val="both"/>
        <w:rPr>
          <w:rFonts w:cs="Arial"/>
          <w:sz w:val="24"/>
          <w:szCs w:val="24"/>
        </w:rPr>
      </w:pPr>
    </w:p>
    <w:p w14:paraId="744D15AE" w14:textId="77777777" w:rsidR="00E93206" w:rsidRPr="009A2B70" w:rsidRDefault="008C051F" w:rsidP="00A716E2">
      <w:pPr>
        <w:jc w:val="both"/>
        <w:rPr>
          <w:rFonts w:cs="Arial"/>
          <w:i/>
          <w:iCs/>
          <w:sz w:val="24"/>
          <w:szCs w:val="24"/>
        </w:rPr>
      </w:pPr>
      <w:r w:rsidRPr="009A2B70">
        <w:rPr>
          <w:rFonts w:cs="Arial"/>
          <w:i/>
          <w:iCs/>
          <w:sz w:val="24"/>
          <w:szCs w:val="24"/>
        </w:rPr>
        <w:t>Economics</w:t>
      </w:r>
    </w:p>
    <w:p w14:paraId="3F3AA744" w14:textId="66F12388" w:rsidR="003F6C33" w:rsidRPr="009A2B70" w:rsidRDefault="003A6644" w:rsidP="00A716E2">
      <w:pPr>
        <w:jc w:val="both"/>
        <w:rPr>
          <w:rFonts w:cs="Arial"/>
          <w:sz w:val="24"/>
          <w:szCs w:val="24"/>
        </w:rPr>
      </w:pPr>
      <w:r w:rsidRPr="009A2B70">
        <w:rPr>
          <w:rFonts w:cs="Arial"/>
          <w:sz w:val="24"/>
          <w:szCs w:val="24"/>
        </w:rPr>
        <w:t xml:space="preserve">A two-way EII </w:t>
      </w:r>
      <w:r w:rsidR="00714761" w:rsidRPr="009A2B70">
        <w:rPr>
          <w:rFonts w:cs="Arial"/>
          <w:sz w:val="24"/>
          <w:szCs w:val="24"/>
        </w:rPr>
        <w:t>CfD would transfer the cost of short-term</w:t>
      </w:r>
      <w:r w:rsidR="00A72FD3" w:rsidRPr="009A2B70">
        <w:rPr>
          <w:rFonts w:cs="Arial"/>
          <w:sz w:val="24"/>
          <w:szCs w:val="24"/>
        </w:rPr>
        <w:t xml:space="preserve"> </w:t>
      </w:r>
      <w:r w:rsidR="00714761" w:rsidRPr="009A2B70">
        <w:rPr>
          <w:rFonts w:cs="Arial"/>
          <w:sz w:val="24"/>
          <w:szCs w:val="24"/>
        </w:rPr>
        <w:t>wholesale price</w:t>
      </w:r>
      <w:r w:rsidR="00A72FD3" w:rsidRPr="009A2B70">
        <w:rPr>
          <w:rFonts w:cs="Arial"/>
          <w:sz w:val="24"/>
          <w:szCs w:val="24"/>
        </w:rPr>
        <w:t xml:space="preserve"> volatility and medium-term higher </w:t>
      </w:r>
      <w:r w:rsidR="009E1EE3" w:rsidRPr="009A2B70">
        <w:rPr>
          <w:rFonts w:cs="Arial"/>
          <w:sz w:val="24"/>
          <w:szCs w:val="24"/>
        </w:rPr>
        <w:t xml:space="preserve">GB </w:t>
      </w:r>
      <w:r w:rsidR="00F56A57" w:rsidRPr="009A2B70">
        <w:rPr>
          <w:rFonts w:cs="Arial"/>
          <w:sz w:val="24"/>
          <w:szCs w:val="24"/>
        </w:rPr>
        <w:t xml:space="preserve">wholesale </w:t>
      </w:r>
      <w:r w:rsidR="009E1EE3" w:rsidRPr="009A2B70">
        <w:rPr>
          <w:rFonts w:cs="Arial"/>
          <w:sz w:val="24"/>
          <w:szCs w:val="24"/>
        </w:rPr>
        <w:t>prices to Government</w:t>
      </w:r>
      <w:r w:rsidR="00F56A57" w:rsidRPr="009A2B70">
        <w:rPr>
          <w:rFonts w:cs="Arial"/>
          <w:sz w:val="24"/>
          <w:szCs w:val="24"/>
        </w:rPr>
        <w:t xml:space="preserve">. </w:t>
      </w:r>
      <w:r w:rsidR="009E1EE3" w:rsidRPr="009A2B70">
        <w:rPr>
          <w:rFonts w:cs="Arial"/>
          <w:sz w:val="24"/>
          <w:szCs w:val="24"/>
        </w:rPr>
        <w:t xml:space="preserve">Depending on </w:t>
      </w:r>
      <w:r w:rsidR="009C3DB5" w:rsidRPr="009A2B70">
        <w:rPr>
          <w:rFonts w:cs="Arial"/>
          <w:sz w:val="24"/>
          <w:szCs w:val="24"/>
        </w:rPr>
        <w:t xml:space="preserve">how </w:t>
      </w:r>
      <w:r w:rsidR="008C2326" w:rsidRPr="009A2B70">
        <w:rPr>
          <w:rFonts w:cs="Arial"/>
          <w:sz w:val="24"/>
          <w:szCs w:val="24"/>
        </w:rPr>
        <w:t xml:space="preserve">the </w:t>
      </w:r>
      <w:r w:rsidR="009E1EE3" w:rsidRPr="009A2B70">
        <w:rPr>
          <w:rFonts w:cs="Arial"/>
          <w:sz w:val="24"/>
          <w:szCs w:val="24"/>
        </w:rPr>
        <w:t xml:space="preserve">Government </w:t>
      </w:r>
      <w:r w:rsidR="008C2326" w:rsidRPr="009A2B70">
        <w:rPr>
          <w:rFonts w:cs="Arial"/>
          <w:sz w:val="24"/>
          <w:szCs w:val="24"/>
        </w:rPr>
        <w:t xml:space="preserve">may </w:t>
      </w:r>
      <w:r w:rsidR="006E5269">
        <w:rPr>
          <w:rFonts w:cs="Arial"/>
          <w:sz w:val="24"/>
          <w:szCs w:val="24"/>
        </w:rPr>
        <w:t xml:space="preserve">wish </w:t>
      </w:r>
      <w:r w:rsidR="009E1EE3" w:rsidRPr="009A2B70">
        <w:rPr>
          <w:rFonts w:cs="Arial"/>
          <w:sz w:val="24"/>
          <w:szCs w:val="24"/>
        </w:rPr>
        <w:t>to f</w:t>
      </w:r>
      <w:r w:rsidR="008C2326" w:rsidRPr="009A2B70">
        <w:rPr>
          <w:rFonts w:cs="Arial"/>
          <w:sz w:val="24"/>
          <w:szCs w:val="24"/>
        </w:rPr>
        <w:t>inance</w:t>
      </w:r>
      <w:r w:rsidR="009E1EE3" w:rsidRPr="009A2B70">
        <w:rPr>
          <w:rFonts w:cs="Arial"/>
          <w:sz w:val="24"/>
          <w:szCs w:val="24"/>
        </w:rPr>
        <w:t xml:space="preserve"> this </w:t>
      </w:r>
      <w:proofErr w:type="spellStart"/>
      <w:r w:rsidR="00DB06F8" w:rsidRPr="009A2B70">
        <w:rPr>
          <w:rFonts w:cs="Arial"/>
          <w:sz w:val="24"/>
          <w:szCs w:val="24"/>
        </w:rPr>
        <w:t>CfD</w:t>
      </w:r>
      <w:proofErr w:type="spellEnd"/>
      <w:r w:rsidR="007F47FD">
        <w:rPr>
          <w:rFonts w:cs="Arial"/>
          <w:sz w:val="24"/>
          <w:szCs w:val="24"/>
        </w:rPr>
        <w:t xml:space="preserve"> – with the EUIG having  strong preference for it be funded by the Exchequer – the </w:t>
      </w:r>
      <w:r w:rsidR="00F66B44" w:rsidRPr="009A2B70">
        <w:rPr>
          <w:rFonts w:cs="Arial"/>
          <w:sz w:val="24"/>
          <w:szCs w:val="24"/>
        </w:rPr>
        <w:t xml:space="preserve">Baringa report for UK Steel </w:t>
      </w:r>
      <w:r w:rsidR="007F47FD">
        <w:rPr>
          <w:rFonts w:cs="Arial"/>
          <w:sz w:val="24"/>
          <w:szCs w:val="24"/>
        </w:rPr>
        <w:t xml:space="preserve">also </w:t>
      </w:r>
      <w:r w:rsidR="00F66B44" w:rsidRPr="009A2B70">
        <w:rPr>
          <w:rFonts w:cs="Arial"/>
          <w:sz w:val="24"/>
          <w:szCs w:val="24"/>
        </w:rPr>
        <w:t xml:space="preserve">estimates </w:t>
      </w:r>
      <w:r w:rsidR="007F47FD">
        <w:rPr>
          <w:rFonts w:cs="Arial"/>
          <w:sz w:val="24"/>
          <w:szCs w:val="24"/>
        </w:rPr>
        <w:t>what the impact might be if the CfD were to be funded via a levy on other consumers. I</w:t>
      </w:r>
      <w:r w:rsidR="006C0C81" w:rsidRPr="009A2B70">
        <w:rPr>
          <w:rFonts w:cs="Arial"/>
          <w:sz w:val="24"/>
          <w:szCs w:val="24"/>
        </w:rPr>
        <w:t xml:space="preserve">ndexing the strike price to the French wholesale </w:t>
      </w:r>
      <w:r w:rsidR="007C7BFC" w:rsidRPr="009A2B70">
        <w:rPr>
          <w:rFonts w:cs="Arial"/>
          <w:sz w:val="24"/>
          <w:szCs w:val="24"/>
        </w:rPr>
        <w:t xml:space="preserve">electricity </w:t>
      </w:r>
      <w:r w:rsidR="006C0C81" w:rsidRPr="009A2B70">
        <w:rPr>
          <w:rFonts w:cs="Arial"/>
          <w:sz w:val="24"/>
          <w:szCs w:val="24"/>
        </w:rPr>
        <w:t xml:space="preserve">price could </w:t>
      </w:r>
      <w:r w:rsidR="00BC159F" w:rsidRPr="009A2B70">
        <w:rPr>
          <w:rFonts w:cs="Arial"/>
          <w:sz w:val="24"/>
          <w:szCs w:val="24"/>
        </w:rPr>
        <w:t xml:space="preserve">increase the electricity price for non-EIIs by </w:t>
      </w:r>
      <w:r w:rsidR="006E4B53" w:rsidRPr="009A2B70">
        <w:rPr>
          <w:rFonts w:cs="Arial"/>
          <w:sz w:val="24"/>
          <w:szCs w:val="24"/>
        </w:rPr>
        <w:t xml:space="preserve">an average of £0.17/MWh between 2026-2030 and </w:t>
      </w:r>
      <w:r w:rsidR="004453DB" w:rsidRPr="009A2B70">
        <w:rPr>
          <w:rFonts w:cs="Arial"/>
          <w:sz w:val="24"/>
          <w:szCs w:val="24"/>
        </w:rPr>
        <w:t xml:space="preserve">reduce it by </w:t>
      </w:r>
      <w:r w:rsidR="00942568" w:rsidRPr="009A2B70">
        <w:rPr>
          <w:rFonts w:cs="Arial"/>
          <w:sz w:val="24"/>
          <w:szCs w:val="24"/>
        </w:rPr>
        <w:t xml:space="preserve">£0.04/MWh </w:t>
      </w:r>
      <w:r w:rsidR="00F0290C" w:rsidRPr="009A2B70">
        <w:rPr>
          <w:rFonts w:cs="Arial"/>
          <w:sz w:val="24"/>
          <w:szCs w:val="24"/>
        </w:rPr>
        <w:t xml:space="preserve">on average </w:t>
      </w:r>
      <w:r w:rsidR="00942568" w:rsidRPr="009A2B70">
        <w:rPr>
          <w:rFonts w:cs="Arial"/>
          <w:sz w:val="24"/>
          <w:szCs w:val="24"/>
        </w:rPr>
        <w:t xml:space="preserve">between </w:t>
      </w:r>
      <w:r w:rsidR="00F0290C" w:rsidRPr="009A2B70">
        <w:rPr>
          <w:rFonts w:cs="Arial"/>
          <w:sz w:val="24"/>
          <w:szCs w:val="24"/>
        </w:rPr>
        <w:t>2031-2035</w:t>
      </w:r>
      <w:r w:rsidR="009A2B70">
        <w:rPr>
          <w:rFonts w:cs="Arial"/>
          <w:sz w:val="24"/>
          <w:szCs w:val="24"/>
        </w:rPr>
        <w:t>,</w:t>
      </w:r>
      <w:r w:rsidR="00F0290C" w:rsidRPr="009A2B70">
        <w:rPr>
          <w:rFonts w:cs="Arial"/>
          <w:sz w:val="24"/>
          <w:szCs w:val="24"/>
        </w:rPr>
        <w:t xml:space="preserve"> as </w:t>
      </w:r>
      <w:r w:rsidR="00B728FD" w:rsidRPr="009A2B70">
        <w:rPr>
          <w:rFonts w:cs="Arial"/>
          <w:sz w:val="24"/>
          <w:szCs w:val="24"/>
        </w:rPr>
        <w:t>the steel industry electrifies and wholesale prices in GB come down</w:t>
      </w:r>
      <w:r w:rsidR="006159CB" w:rsidRPr="009A2B70">
        <w:rPr>
          <w:rFonts w:cs="Arial"/>
          <w:sz w:val="24"/>
          <w:szCs w:val="24"/>
        </w:rPr>
        <w:t xml:space="preserve"> relative to France’s. </w:t>
      </w:r>
    </w:p>
    <w:p w14:paraId="4566443F" w14:textId="60E8BC03" w:rsidR="00116AE7" w:rsidRPr="00C85C3C" w:rsidRDefault="003D333F">
      <w:pPr>
        <w:jc w:val="both"/>
        <w:rPr>
          <w:rFonts w:cs="Arial"/>
          <w:sz w:val="24"/>
          <w:szCs w:val="24"/>
        </w:rPr>
      </w:pPr>
      <w:r w:rsidRPr="00C85C3C">
        <w:rPr>
          <w:rFonts w:cs="Arial"/>
          <w:sz w:val="24"/>
          <w:szCs w:val="24"/>
        </w:rPr>
        <w:t xml:space="preserve">Using projected EII </w:t>
      </w:r>
      <w:r w:rsidR="00A95D91" w:rsidRPr="00C85C3C">
        <w:rPr>
          <w:rFonts w:cs="Arial"/>
          <w:sz w:val="24"/>
          <w:szCs w:val="24"/>
        </w:rPr>
        <w:t xml:space="preserve">electricity </w:t>
      </w:r>
      <w:r w:rsidRPr="00C85C3C">
        <w:rPr>
          <w:rFonts w:cs="Arial"/>
          <w:sz w:val="24"/>
          <w:szCs w:val="24"/>
        </w:rPr>
        <w:t>demand</w:t>
      </w:r>
      <w:r w:rsidR="00A95D91" w:rsidRPr="00C85C3C">
        <w:rPr>
          <w:rFonts w:cs="Arial"/>
          <w:sz w:val="24"/>
          <w:szCs w:val="24"/>
        </w:rPr>
        <w:t xml:space="preserve"> of 9.7 TWh in 2025</w:t>
      </w:r>
      <w:r w:rsidR="008E4A5C" w:rsidRPr="00C85C3C">
        <w:rPr>
          <w:rFonts w:cs="Arial"/>
          <w:sz w:val="24"/>
          <w:szCs w:val="24"/>
        </w:rPr>
        <w:t xml:space="preserve"> increasing to 12.2 TWh by 2035</w:t>
      </w:r>
      <w:r w:rsidRPr="00C85C3C">
        <w:rPr>
          <w:rFonts w:cs="Arial"/>
          <w:sz w:val="24"/>
          <w:szCs w:val="24"/>
        </w:rPr>
        <w:t>, the net cost to consumers is estimated at £51m annually between 2026–2030</w:t>
      </w:r>
      <w:r w:rsidR="00250ABE" w:rsidRPr="00C85C3C">
        <w:rPr>
          <w:rFonts w:cs="Arial"/>
          <w:sz w:val="24"/>
          <w:szCs w:val="24"/>
        </w:rPr>
        <w:t xml:space="preserve"> </w:t>
      </w:r>
      <w:r w:rsidRPr="00C85C3C">
        <w:rPr>
          <w:rFonts w:cs="Arial"/>
          <w:sz w:val="24"/>
          <w:szCs w:val="24"/>
        </w:rPr>
        <w:t>and an average net benefit of £13m to the consumer annually between 2031–2035.</w:t>
      </w:r>
      <w:r w:rsidR="00714A65" w:rsidRPr="00C85C3C">
        <w:rPr>
          <w:rFonts w:cs="Arial"/>
          <w:sz w:val="24"/>
          <w:szCs w:val="24"/>
        </w:rPr>
        <w:t xml:space="preserve"> As businesses could choose whether or not to enter a </w:t>
      </w:r>
      <w:proofErr w:type="spellStart"/>
      <w:r w:rsidR="00714A65" w:rsidRPr="00C85C3C">
        <w:rPr>
          <w:rFonts w:cs="Arial"/>
          <w:sz w:val="24"/>
          <w:szCs w:val="24"/>
        </w:rPr>
        <w:t>CfD</w:t>
      </w:r>
      <w:proofErr w:type="spellEnd"/>
      <w:r w:rsidR="00C85C3C">
        <w:rPr>
          <w:rFonts w:cs="Arial"/>
          <w:sz w:val="24"/>
          <w:szCs w:val="24"/>
        </w:rPr>
        <w:t>,</w:t>
      </w:r>
      <w:r w:rsidR="00714A65" w:rsidRPr="00C85C3C">
        <w:rPr>
          <w:rFonts w:cs="Arial"/>
          <w:sz w:val="24"/>
          <w:szCs w:val="24"/>
        </w:rPr>
        <w:t xml:space="preserve"> the likely cost could be lower.</w:t>
      </w:r>
    </w:p>
    <w:p w14:paraId="7DFC87A3" w14:textId="558B374D" w:rsidR="008C051F" w:rsidRPr="009A2B70" w:rsidRDefault="008C051F" w:rsidP="008C051F">
      <w:pPr>
        <w:jc w:val="both"/>
        <w:rPr>
          <w:rFonts w:cs="Arial"/>
          <w:sz w:val="24"/>
          <w:szCs w:val="24"/>
        </w:rPr>
      </w:pPr>
      <w:r w:rsidRPr="009A2B70">
        <w:rPr>
          <w:rFonts w:cs="Arial"/>
          <w:sz w:val="24"/>
          <w:szCs w:val="24"/>
        </w:rPr>
        <w:t xml:space="preserve">These costs could be lower if the two-way CfD contained a DSR/consumer flexibility element to incentivise EIIs to reduce their consumption at peak times. One option could be to disapply the CfD at peak hours or </w:t>
      </w:r>
      <w:r w:rsidR="00E93206" w:rsidRPr="009A2B70">
        <w:rPr>
          <w:rFonts w:cs="Arial"/>
          <w:sz w:val="24"/>
          <w:szCs w:val="24"/>
        </w:rPr>
        <w:t xml:space="preserve">link it to a Triad-style network charge reduction. </w:t>
      </w:r>
    </w:p>
    <w:p w14:paraId="64E0464B" w14:textId="77777777" w:rsidR="009A2B70" w:rsidRDefault="009A2B70" w:rsidP="00E93206">
      <w:pPr>
        <w:jc w:val="both"/>
        <w:rPr>
          <w:rFonts w:cs="Arial"/>
          <w:i/>
          <w:iCs/>
          <w:sz w:val="24"/>
          <w:szCs w:val="24"/>
        </w:rPr>
      </w:pPr>
    </w:p>
    <w:p w14:paraId="25E75663" w14:textId="4AD19224" w:rsidR="00250ABE" w:rsidRPr="009A2B70" w:rsidRDefault="006F7EE3" w:rsidP="00E93206">
      <w:pPr>
        <w:jc w:val="both"/>
        <w:rPr>
          <w:rFonts w:cs="Arial"/>
          <w:b/>
          <w:bCs/>
          <w:sz w:val="24"/>
          <w:szCs w:val="24"/>
        </w:rPr>
      </w:pPr>
      <w:r w:rsidRPr="009A2B70">
        <w:rPr>
          <w:rFonts w:cs="Arial"/>
          <w:b/>
          <w:bCs/>
          <w:sz w:val="24"/>
          <w:szCs w:val="24"/>
        </w:rPr>
        <w:t>Conclusion</w:t>
      </w:r>
    </w:p>
    <w:p w14:paraId="02A25FDE" w14:textId="3CFEA8B3" w:rsidR="002B66B1" w:rsidRDefault="000E2B8B" w:rsidP="00E93206">
      <w:pPr>
        <w:jc w:val="both"/>
        <w:rPr>
          <w:rFonts w:cs="Arial"/>
          <w:sz w:val="24"/>
          <w:szCs w:val="24"/>
        </w:rPr>
      </w:pPr>
      <w:r w:rsidRPr="009A2B70">
        <w:rPr>
          <w:rFonts w:cs="Arial"/>
          <w:sz w:val="24"/>
          <w:szCs w:val="24"/>
        </w:rPr>
        <w:t xml:space="preserve">The Two-Way CfD is an option to reduce the wholesale </w:t>
      </w:r>
      <w:r w:rsidR="00D11A26" w:rsidRPr="009A2B70">
        <w:rPr>
          <w:rFonts w:cs="Arial"/>
          <w:sz w:val="24"/>
          <w:szCs w:val="24"/>
        </w:rPr>
        <w:t xml:space="preserve">electricity </w:t>
      </w:r>
      <w:r w:rsidRPr="009A2B70">
        <w:rPr>
          <w:rFonts w:cs="Arial"/>
          <w:sz w:val="24"/>
          <w:szCs w:val="24"/>
        </w:rPr>
        <w:t xml:space="preserve">price </w:t>
      </w:r>
      <w:r w:rsidR="00D11A26" w:rsidRPr="009A2B70">
        <w:rPr>
          <w:rFonts w:cs="Arial"/>
          <w:sz w:val="24"/>
          <w:szCs w:val="24"/>
        </w:rPr>
        <w:t>differential with other European countries</w:t>
      </w:r>
      <w:r w:rsidR="00772059" w:rsidRPr="009A2B70">
        <w:rPr>
          <w:rFonts w:cs="Arial"/>
          <w:sz w:val="24"/>
          <w:szCs w:val="24"/>
        </w:rPr>
        <w:t xml:space="preserve">. </w:t>
      </w:r>
      <w:r w:rsidR="00D3032A" w:rsidRPr="009A2B70">
        <w:rPr>
          <w:rFonts w:cs="Arial"/>
          <w:sz w:val="24"/>
          <w:szCs w:val="24"/>
        </w:rPr>
        <w:t xml:space="preserve">It is basically a hedge with the risk </w:t>
      </w:r>
      <w:r w:rsidR="00DF7CCB" w:rsidRPr="009A2B70">
        <w:rPr>
          <w:rFonts w:cs="Arial"/>
          <w:sz w:val="24"/>
          <w:szCs w:val="24"/>
        </w:rPr>
        <w:t>of a negative differential transferred to Government in the short to medium term</w:t>
      </w:r>
      <w:r w:rsidR="00E56889" w:rsidRPr="009A2B70">
        <w:rPr>
          <w:rFonts w:cs="Arial"/>
          <w:sz w:val="24"/>
          <w:szCs w:val="24"/>
        </w:rPr>
        <w:t xml:space="preserve">, but this will </w:t>
      </w:r>
      <w:r w:rsidR="00D61434">
        <w:rPr>
          <w:rFonts w:cs="Arial"/>
          <w:sz w:val="24"/>
          <w:szCs w:val="24"/>
        </w:rPr>
        <w:t xml:space="preserve">bring UK wholesale prices for EIIs more in line with that faced by European competitors </w:t>
      </w:r>
      <w:r w:rsidR="00C82469">
        <w:rPr>
          <w:rFonts w:cs="Arial"/>
          <w:sz w:val="24"/>
          <w:szCs w:val="24"/>
        </w:rPr>
        <w:t xml:space="preserve">and </w:t>
      </w:r>
      <w:r w:rsidR="00E56889" w:rsidRPr="009A2B70">
        <w:rPr>
          <w:rFonts w:cs="Arial"/>
          <w:sz w:val="24"/>
          <w:szCs w:val="24"/>
        </w:rPr>
        <w:t xml:space="preserve">allow EIIs to compete </w:t>
      </w:r>
      <w:r w:rsidR="00981967" w:rsidRPr="009A2B70">
        <w:rPr>
          <w:rFonts w:cs="Arial"/>
          <w:sz w:val="24"/>
          <w:szCs w:val="24"/>
        </w:rPr>
        <w:t xml:space="preserve">on a more level playing field. </w:t>
      </w:r>
      <w:r w:rsidR="00E671C5" w:rsidRPr="009A2B70">
        <w:rPr>
          <w:rFonts w:cs="Arial"/>
          <w:sz w:val="24"/>
          <w:szCs w:val="24"/>
        </w:rPr>
        <w:t xml:space="preserve">The </w:t>
      </w:r>
      <w:r w:rsidR="000360DB" w:rsidRPr="009A2B70">
        <w:rPr>
          <w:rFonts w:cs="Arial"/>
          <w:sz w:val="24"/>
          <w:szCs w:val="24"/>
        </w:rPr>
        <w:t xml:space="preserve">governance </w:t>
      </w:r>
      <w:r w:rsidR="0073241D" w:rsidRPr="009A2B70">
        <w:rPr>
          <w:rFonts w:cs="Arial"/>
          <w:sz w:val="24"/>
          <w:szCs w:val="24"/>
        </w:rPr>
        <w:t>is already in place and administrative process</w:t>
      </w:r>
      <w:r w:rsidR="005B0FF5" w:rsidRPr="009A2B70">
        <w:rPr>
          <w:rFonts w:cs="Arial"/>
          <w:sz w:val="24"/>
          <w:szCs w:val="24"/>
        </w:rPr>
        <w:t>es</w:t>
      </w:r>
      <w:r w:rsidR="0073241D" w:rsidRPr="009A2B70">
        <w:rPr>
          <w:rFonts w:cs="Arial"/>
          <w:sz w:val="24"/>
          <w:szCs w:val="24"/>
        </w:rPr>
        <w:t xml:space="preserve"> </w:t>
      </w:r>
      <w:r w:rsidR="00424B43" w:rsidRPr="009A2B70">
        <w:rPr>
          <w:rFonts w:cs="Arial"/>
          <w:sz w:val="24"/>
          <w:szCs w:val="24"/>
        </w:rPr>
        <w:t>only</w:t>
      </w:r>
      <w:r w:rsidR="0073241D" w:rsidRPr="009A2B70">
        <w:rPr>
          <w:rFonts w:cs="Arial"/>
          <w:sz w:val="24"/>
          <w:szCs w:val="24"/>
        </w:rPr>
        <w:t xml:space="preserve"> need </w:t>
      </w:r>
      <w:r w:rsidR="005E1927" w:rsidRPr="009A2B70">
        <w:rPr>
          <w:rFonts w:cs="Arial"/>
          <w:sz w:val="24"/>
          <w:szCs w:val="24"/>
        </w:rPr>
        <w:t xml:space="preserve">little </w:t>
      </w:r>
      <w:r w:rsidR="0073241D" w:rsidRPr="009A2B70">
        <w:rPr>
          <w:rFonts w:cs="Arial"/>
          <w:sz w:val="24"/>
          <w:szCs w:val="24"/>
        </w:rPr>
        <w:t xml:space="preserve">change to implement </w:t>
      </w:r>
      <w:r w:rsidR="00424B43" w:rsidRPr="009A2B70">
        <w:rPr>
          <w:rFonts w:cs="Arial"/>
          <w:sz w:val="24"/>
          <w:szCs w:val="24"/>
        </w:rPr>
        <w:t>it</w:t>
      </w:r>
      <w:r w:rsidR="005E1927" w:rsidRPr="009A2B70">
        <w:rPr>
          <w:rFonts w:cs="Arial"/>
          <w:sz w:val="24"/>
          <w:szCs w:val="24"/>
        </w:rPr>
        <w:t xml:space="preserve">. </w:t>
      </w:r>
      <w:r w:rsidR="00424B43" w:rsidRPr="009A2B70">
        <w:rPr>
          <w:rFonts w:cs="Arial"/>
          <w:sz w:val="24"/>
          <w:szCs w:val="24"/>
        </w:rPr>
        <w:t>The EIUG therefore proposes the Government to implement the Two-Way CfD</w:t>
      </w:r>
      <w:r w:rsidR="009A2B70">
        <w:rPr>
          <w:rFonts w:cs="Arial"/>
          <w:sz w:val="24"/>
          <w:szCs w:val="24"/>
        </w:rPr>
        <w:t xml:space="preserve"> for energy intensive industries</w:t>
      </w:r>
      <w:r w:rsidR="00424B43" w:rsidRPr="009A2B70">
        <w:rPr>
          <w:rFonts w:cs="Arial"/>
          <w:sz w:val="24"/>
          <w:szCs w:val="24"/>
        </w:rPr>
        <w:t>.</w:t>
      </w:r>
    </w:p>
    <w:p w14:paraId="1B01D884" w14:textId="77777777" w:rsidR="00C85C3C" w:rsidRDefault="00C85C3C" w:rsidP="00E93206">
      <w:pPr>
        <w:jc w:val="both"/>
        <w:rPr>
          <w:rFonts w:cs="Arial"/>
          <w:sz w:val="24"/>
          <w:szCs w:val="24"/>
        </w:rPr>
      </w:pPr>
    </w:p>
    <w:p w14:paraId="6BA8F1A3" w14:textId="5B81BB78" w:rsidR="009A2B70" w:rsidRDefault="009A2B70" w:rsidP="00E93206">
      <w:pPr>
        <w:jc w:val="both"/>
        <w:rPr>
          <w:rFonts w:cs="Arial"/>
          <w:sz w:val="24"/>
          <w:szCs w:val="24"/>
        </w:rPr>
      </w:pPr>
      <w:r>
        <w:rPr>
          <w:rFonts w:cs="Arial"/>
          <w:sz w:val="24"/>
          <w:szCs w:val="24"/>
        </w:rPr>
        <w:t>Arjan Geveke</w:t>
      </w:r>
    </w:p>
    <w:p w14:paraId="64D82715" w14:textId="7856B1B3" w:rsidR="009A2B70" w:rsidRPr="009A2B70" w:rsidRDefault="009A2B70" w:rsidP="00E93206">
      <w:pPr>
        <w:jc w:val="both"/>
        <w:rPr>
          <w:rFonts w:cs="Arial"/>
          <w:sz w:val="24"/>
          <w:szCs w:val="24"/>
        </w:rPr>
      </w:pPr>
      <w:r>
        <w:rPr>
          <w:rFonts w:cs="Arial"/>
          <w:sz w:val="24"/>
          <w:szCs w:val="24"/>
        </w:rPr>
        <w:t>Director EIUG</w:t>
      </w:r>
    </w:p>
    <w:sectPr w:rsidR="009A2B70" w:rsidRPr="009A2B70" w:rsidSect="00CE396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D410" w14:textId="77777777" w:rsidR="007564D7" w:rsidRDefault="007564D7" w:rsidP="00941443">
      <w:pPr>
        <w:spacing w:after="0" w:line="240" w:lineRule="auto"/>
      </w:pPr>
      <w:r>
        <w:separator/>
      </w:r>
    </w:p>
  </w:endnote>
  <w:endnote w:type="continuationSeparator" w:id="0">
    <w:p w14:paraId="4D12430E" w14:textId="77777777" w:rsidR="007564D7" w:rsidRDefault="007564D7" w:rsidP="0094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86656"/>
      <w:docPartObj>
        <w:docPartGallery w:val="Page Numbers (Bottom of Page)"/>
        <w:docPartUnique/>
      </w:docPartObj>
    </w:sdtPr>
    <w:sdtEndPr>
      <w:rPr>
        <w:noProof/>
      </w:rPr>
    </w:sdtEndPr>
    <w:sdtContent>
      <w:p w14:paraId="3E78AE5E" w14:textId="69D2693B" w:rsidR="00941443" w:rsidRDefault="00941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659A3" w14:textId="77777777" w:rsidR="00941443" w:rsidRDefault="00941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826E" w14:textId="77777777" w:rsidR="007564D7" w:rsidRDefault="007564D7" w:rsidP="00941443">
      <w:pPr>
        <w:spacing w:after="0" w:line="240" w:lineRule="auto"/>
      </w:pPr>
      <w:r>
        <w:separator/>
      </w:r>
    </w:p>
  </w:footnote>
  <w:footnote w:type="continuationSeparator" w:id="0">
    <w:p w14:paraId="798F2948" w14:textId="77777777" w:rsidR="007564D7" w:rsidRDefault="007564D7" w:rsidP="00941443">
      <w:pPr>
        <w:spacing w:after="0" w:line="240" w:lineRule="auto"/>
      </w:pPr>
      <w:r>
        <w:continuationSeparator/>
      </w:r>
    </w:p>
  </w:footnote>
  <w:footnote w:id="1">
    <w:p w14:paraId="23B15D01" w14:textId="405F352F" w:rsidR="00C1241C" w:rsidRDefault="00C1241C">
      <w:pPr>
        <w:pStyle w:val="FootnoteText"/>
      </w:pPr>
      <w:r>
        <w:rPr>
          <w:rStyle w:val="FootnoteReference"/>
        </w:rPr>
        <w:footnoteRef/>
      </w:r>
      <w:r>
        <w:t xml:space="preserve"> </w:t>
      </w:r>
      <w:r w:rsidR="006C52CD">
        <w:t xml:space="preserve">Zakeri et al. </w:t>
      </w:r>
      <w:r w:rsidR="00D30CC9">
        <w:t>(2023), “</w:t>
      </w:r>
      <w:r w:rsidR="00D30CC9" w:rsidRPr="00D30CC9">
        <w:t>The role of natural gas in setting electricity prices in Europe</w:t>
      </w:r>
      <w:r w:rsidR="00D30CC9">
        <w:t xml:space="preserve">”, </w:t>
      </w:r>
      <w:r w:rsidR="001333E1" w:rsidRPr="00085A1B">
        <w:rPr>
          <w:i/>
          <w:iCs/>
        </w:rPr>
        <w:t>Energy Reports</w:t>
      </w:r>
      <w:r w:rsidR="001333E1">
        <w:t xml:space="preserve">, </w:t>
      </w:r>
      <w:r w:rsidR="00085A1B">
        <w:t xml:space="preserve">volume 10: pp </w:t>
      </w:r>
      <w:r w:rsidR="00085A1B" w:rsidRPr="00085A1B">
        <w:t>2778-2792</w:t>
      </w:r>
      <w:r w:rsidR="00085A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72BC" w14:textId="6ED0F38B" w:rsidR="00116AE7" w:rsidRDefault="00116AE7" w:rsidP="00116AE7">
    <w:pPr>
      <w:pStyle w:val="Header"/>
      <w:jc w:val="right"/>
    </w:pPr>
    <w:r>
      <w:rPr>
        <w:noProof/>
      </w:rPr>
      <w:drawing>
        <wp:inline distT="0" distB="0" distL="0" distR="0" wp14:anchorId="611C03A5" wp14:editId="0DCBE6AA">
          <wp:extent cx="1755052" cy="505501"/>
          <wp:effectExtent l="0" t="0" r="0" b="8890"/>
          <wp:docPr id="4" name="Picture 3" descr="A blue and white logo&#10;&#10;Description automatically generated with low confidence">
            <a:extLst xmlns:a="http://schemas.openxmlformats.org/drawingml/2006/main">
              <a:ext uri="{FF2B5EF4-FFF2-40B4-BE49-F238E27FC236}">
                <a16:creationId xmlns:a16="http://schemas.microsoft.com/office/drawing/2014/main" id="{74E322AF-FBEA-A13A-7541-FAAAAA6FFC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logo&#10;&#10;Description automatically generated with low confidence">
                    <a:extLst>
                      <a:ext uri="{FF2B5EF4-FFF2-40B4-BE49-F238E27FC236}">
                        <a16:creationId xmlns:a16="http://schemas.microsoft.com/office/drawing/2014/main" id="{74E322AF-FBEA-A13A-7541-FAAAAA6FFC2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9575" cy="512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CBF"/>
    <w:multiLevelType w:val="hybridMultilevel"/>
    <w:tmpl w:val="66D44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B209B"/>
    <w:multiLevelType w:val="hybridMultilevel"/>
    <w:tmpl w:val="382E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329FF"/>
    <w:multiLevelType w:val="hybridMultilevel"/>
    <w:tmpl w:val="03C862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85608FA"/>
    <w:multiLevelType w:val="hybridMultilevel"/>
    <w:tmpl w:val="0096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752018">
    <w:abstractNumId w:val="3"/>
  </w:num>
  <w:num w:numId="2" w16cid:durableId="1421295416">
    <w:abstractNumId w:val="1"/>
  </w:num>
  <w:num w:numId="3" w16cid:durableId="538593391">
    <w:abstractNumId w:val="2"/>
  </w:num>
  <w:num w:numId="4" w16cid:durableId="109644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jO3NDczNDAE0ko6SsGpxcWZ+XkgBUa1AGBnXEcsAAAA"/>
  </w:docVars>
  <w:rsids>
    <w:rsidRoot w:val="00C04B1C"/>
    <w:rsid w:val="000028B7"/>
    <w:rsid w:val="00011B37"/>
    <w:rsid w:val="00023059"/>
    <w:rsid w:val="000231D1"/>
    <w:rsid w:val="00034203"/>
    <w:rsid w:val="000360DB"/>
    <w:rsid w:val="000400E3"/>
    <w:rsid w:val="00043740"/>
    <w:rsid w:val="0004404D"/>
    <w:rsid w:val="00046754"/>
    <w:rsid w:val="000528D8"/>
    <w:rsid w:val="00054A3A"/>
    <w:rsid w:val="00054F86"/>
    <w:rsid w:val="000554E8"/>
    <w:rsid w:val="00071CA8"/>
    <w:rsid w:val="00084E4D"/>
    <w:rsid w:val="0008564A"/>
    <w:rsid w:val="00085A1B"/>
    <w:rsid w:val="0008719B"/>
    <w:rsid w:val="00096C58"/>
    <w:rsid w:val="000A44B3"/>
    <w:rsid w:val="000B7148"/>
    <w:rsid w:val="000C00F4"/>
    <w:rsid w:val="000C0151"/>
    <w:rsid w:val="000C0500"/>
    <w:rsid w:val="000C373E"/>
    <w:rsid w:val="000C53E6"/>
    <w:rsid w:val="000E2B8B"/>
    <w:rsid w:val="000E5BCD"/>
    <w:rsid w:val="000F4609"/>
    <w:rsid w:val="00101B92"/>
    <w:rsid w:val="00116AE7"/>
    <w:rsid w:val="0012516D"/>
    <w:rsid w:val="001333E1"/>
    <w:rsid w:val="0014414E"/>
    <w:rsid w:val="0014533C"/>
    <w:rsid w:val="00155C0A"/>
    <w:rsid w:val="00155D2E"/>
    <w:rsid w:val="00162604"/>
    <w:rsid w:val="00162B2E"/>
    <w:rsid w:val="00164738"/>
    <w:rsid w:val="00165DFA"/>
    <w:rsid w:val="0017397D"/>
    <w:rsid w:val="00173E64"/>
    <w:rsid w:val="001749DF"/>
    <w:rsid w:val="00191DF8"/>
    <w:rsid w:val="0019653B"/>
    <w:rsid w:val="00197E6E"/>
    <w:rsid w:val="001B4C06"/>
    <w:rsid w:val="001E38E7"/>
    <w:rsid w:val="001F2404"/>
    <w:rsid w:val="001F71CA"/>
    <w:rsid w:val="00212978"/>
    <w:rsid w:val="0021366F"/>
    <w:rsid w:val="00216D23"/>
    <w:rsid w:val="00224182"/>
    <w:rsid w:val="0022578A"/>
    <w:rsid w:val="00230AE7"/>
    <w:rsid w:val="00234D17"/>
    <w:rsid w:val="002407C2"/>
    <w:rsid w:val="00246D4E"/>
    <w:rsid w:val="00250ABE"/>
    <w:rsid w:val="00254B5F"/>
    <w:rsid w:val="00256397"/>
    <w:rsid w:val="0025687E"/>
    <w:rsid w:val="00265F87"/>
    <w:rsid w:val="00287696"/>
    <w:rsid w:val="0029234C"/>
    <w:rsid w:val="0029332C"/>
    <w:rsid w:val="0029365C"/>
    <w:rsid w:val="002A5C39"/>
    <w:rsid w:val="002A7064"/>
    <w:rsid w:val="002B4D95"/>
    <w:rsid w:val="002B574D"/>
    <w:rsid w:val="002B66B1"/>
    <w:rsid w:val="002C5559"/>
    <w:rsid w:val="002D0C16"/>
    <w:rsid w:val="002D389D"/>
    <w:rsid w:val="002D7906"/>
    <w:rsid w:val="002E010B"/>
    <w:rsid w:val="002E139D"/>
    <w:rsid w:val="002E6FF6"/>
    <w:rsid w:val="002F33F0"/>
    <w:rsid w:val="002F3C55"/>
    <w:rsid w:val="00300218"/>
    <w:rsid w:val="0030153E"/>
    <w:rsid w:val="00302A1C"/>
    <w:rsid w:val="00310629"/>
    <w:rsid w:val="0031720F"/>
    <w:rsid w:val="00317543"/>
    <w:rsid w:val="00324745"/>
    <w:rsid w:val="00333557"/>
    <w:rsid w:val="003361E1"/>
    <w:rsid w:val="00350BF7"/>
    <w:rsid w:val="00355619"/>
    <w:rsid w:val="00355A26"/>
    <w:rsid w:val="003571B5"/>
    <w:rsid w:val="00362367"/>
    <w:rsid w:val="003646C9"/>
    <w:rsid w:val="003675B8"/>
    <w:rsid w:val="00367CD6"/>
    <w:rsid w:val="00377174"/>
    <w:rsid w:val="003A4FCB"/>
    <w:rsid w:val="003A6644"/>
    <w:rsid w:val="003A7535"/>
    <w:rsid w:val="003C1D7E"/>
    <w:rsid w:val="003C6477"/>
    <w:rsid w:val="003D333F"/>
    <w:rsid w:val="003E133C"/>
    <w:rsid w:val="003E3438"/>
    <w:rsid w:val="003F4FB2"/>
    <w:rsid w:val="003F6848"/>
    <w:rsid w:val="003F6C33"/>
    <w:rsid w:val="00400217"/>
    <w:rsid w:val="00414630"/>
    <w:rsid w:val="00414E47"/>
    <w:rsid w:val="00415CDB"/>
    <w:rsid w:val="00420F6D"/>
    <w:rsid w:val="0042119E"/>
    <w:rsid w:val="00421498"/>
    <w:rsid w:val="00424B43"/>
    <w:rsid w:val="00440C91"/>
    <w:rsid w:val="00444807"/>
    <w:rsid w:val="004453DB"/>
    <w:rsid w:val="004460B0"/>
    <w:rsid w:val="00447A2E"/>
    <w:rsid w:val="004517E9"/>
    <w:rsid w:val="00453B85"/>
    <w:rsid w:val="00456604"/>
    <w:rsid w:val="00457D7B"/>
    <w:rsid w:val="0047570C"/>
    <w:rsid w:val="00486C7B"/>
    <w:rsid w:val="00491D5A"/>
    <w:rsid w:val="004B59F9"/>
    <w:rsid w:val="004C1BD5"/>
    <w:rsid w:val="004D1E74"/>
    <w:rsid w:val="00502687"/>
    <w:rsid w:val="00502740"/>
    <w:rsid w:val="00513ECF"/>
    <w:rsid w:val="005226EA"/>
    <w:rsid w:val="0052715A"/>
    <w:rsid w:val="00532A20"/>
    <w:rsid w:val="00540DF2"/>
    <w:rsid w:val="005458EB"/>
    <w:rsid w:val="005607D2"/>
    <w:rsid w:val="00567F1F"/>
    <w:rsid w:val="0057352B"/>
    <w:rsid w:val="00586DE0"/>
    <w:rsid w:val="005914AC"/>
    <w:rsid w:val="00597A79"/>
    <w:rsid w:val="005A5F22"/>
    <w:rsid w:val="005B0FF5"/>
    <w:rsid w:val="005C08A9"/>
    <w:rsid w:val="005C2CE5"/>
    <w:rsid w:val="005C74D1"/>
    <w:rsid w:val="005D1586"/>
    <w:rsid w:val="005D19A1"/>
    <w:rsid w:val="005D21A0"/>
    <w:rsid w:val="005D65E9"/>
    <w:rsid w:val="005D75C2"/>
    <w:rsid w:val="005E1927"/>
    <w:rsid w:val="005E1D9A"/>
    <w:rsid w:val="005E346B"/>
    <w:rsid w:val="005E6A17"/>
    <w:rsid w:val="005F21DB"/>
    <w:rsid w:val="0060259F"/>
    <w:rsid w:val="00611876"/>
    <w:rsid w:val="006159CB"/>
    <w:rsid w:val="006161A9"/>
    <w:rsid w:val="006166F3"/>
    <w:rsid w:val="006204FA"/>
    <w:rsid w:val="006227F8"/>
    <w:rsid w:val="006262A0"/>
    <w:rsid w:val="00640B75"/>
    <w:rsid w:val="00650222"/>
    <w:rsid w:val="00665C6A"/>
    <w:rsid w:val="00670606"/>
    <w:rsid w:val="006708F5"/>
    <w:rsid w:val="006922C0"/>
    <w:rsid w:val="006958C8"/>
    <w:rsid w:val="006A6CD6"/>
    <w:rsid w:val="006B27E0"/>
    <w:rsid w:val="006B7844"/>
    <w:rsid w:val="006C0361"/>
    <w:rsid w:val="006C0C81"/>
    <w:rsid w:val="006C46FF"/>
    <w:rsid w:val="006C52CD"/>
    <w:rsid w:val="006D0C2C"/>
    <w:rsid w:val="006D11B6"/>
    <w:rsid w:val="006D14DD"/>
    <w:rsid w:val="006E4570"/>
    <w:rsid w:val="006E4B53"/>
    <w:rsid w:val="006E5269"/>
    <w:rsid w:val="006E795F"/>
    <w:rsid w:val="006F3A0D"/>
    <w:rsid w:val="006F6212"/>
    <w:rsid w:val="006F7EE3"/>
    <w:rsid w:val="00706B1D"/>
    <w:rsid w:val="0070740E"/>
    <w:rsid w:val="00714761"/>
    <w:rsid w:val="00714A65"/>
    <w:rsid w:val="00715047"/>
    <w:rsid w:val="00720BE7"/>
    <w:rsid w:val="0072795F"/>
    <w:rsid w:val="0073098E"/>
    <w:rsid w:val="00730A9F"/>
    <w:rsid w:val="0073241D"/>
    <w:rsid w:val="0075075D"/>
    <w:rsid w:val="0075270D"/>
    <w:rsid w:val="00753811"/>
    <w:rsid w:val="007564D7"/>
    <w:rsid w:val="00761CB4"/>
    <w:rsid w:val="0076381C"/>
    <w:rsid w:val="00772059"/>
    <w:rsid w:val="00781058"/>
    <w:rsid w:val="00786F3D"/>
    <w:rsid w:val="00787FD4"/>
    <w:rsid w:val="00790EC2"/>
    <w:rsid w:val="007923FE"/>
    <w:rsid w:val="007949F8"/>
    <w:rsid w:val="00797EA9"/>
    <w:rsid w:val="00797FA8"/>
    <w:rsid w:val="007A286C"/>
    <w:rsid w:val="007A4565"/>
    <w:rsid w:val="007B00C6"/>
    <w:rsid w:val="007B4CF0"/>
    <w:rsid w:val="007B79BA"/>
    <w:rsid w:val="007C1728"/>
    <w:rsid w:val="007C22B3"/>
    <w:rsid w:val="007C3E13"/>
    <w:rsid w:val="007C7BFC"/>
    <w:rsid w:val="007D5C9A"/>
    <w:rsid w:val="007D7E41"/>
    <w:rsid w:val="007E54EA"/>
    <w:rsid w:val="007E5FB3"/>
    <w:rsid w:val="007F47FD"/>
    <w:rsid w:val="007F4FB3"/>
    <w:rsid w:val="007F7754"/>
    <w:rsid w:val="00803FF4"/>
    <w:rsid w:val="008073A3"/>
    <w:rsid w:val="0084033A"/>
    <w:rsid w:val="008439D5"/>
    <w:rsid w:val="008443E3"/>
    <w:rsid w:val="008613A5"/>
    <w:rsid w:val="008727D1"/>
    <w:rsid w:val="00877D07"/>
    <w:rsid w:val="00881209"/>
    <w:rsid w:val="0088464F"/>
    <w:rsid w:val="00886042"/>
    <w:rsid w:val="008932F8"/>
    <w:rsid w:val="008A0A09"/>
    <w:rsid w:val="008B0AAB"/>
    <w:rsid w:val="008B2DFA"/>
    <w:rsid w:val="008C051F"/>
    <w:rsid w:val="008C2326"/>
    <w:rsid w:val="008C7A13"/>
    <w:rsid w:val="008D0F27"/>
    <w:rsid w:val="008D256F"/>
    <w:rsid w:val="008D5C02"/>
    <w:rsid w:val="008E0299"/>
    <w:rsid w:val="008E4A5C"/>
    <w:rsid w:val="008E56A7"/>
    <w:rsid w:val="008F16E1"/>
    <w:rsid w:val="008F3623"/>
    <w:rsid w:val="008F642F"/>
    <w:rsid w:val="00904965"/>
    <w:rsid w:val="00906DA8"/>
    <w:rsid w:val="00907997"/>
    <w:rsid w:val="00911782"/>
    <w:rsid w:val="00921506"/>
    <w:rsid w:val="00923BED"/>
    <w:rsid w:val="00926186"/>
    <w:rsid w:val="009352E8"/>
    <w:rsid w:val="0094078C"/>
    <w:rsid w:val="00941443"/>
    <w:rsid w:val="00942568"/>
    <w:rsid w:val="00942669"/>
    <w:rsid w:val="00950103"/>
    <w:rsid w:val="00971595"/>
    <w:rsid w:val="009756A1"/>
    <w:rsid w:val="00981967"/>
    <w:rsid w:val="009851D9"/>
    <w:rsid w:val="0098526B"/>
    <w:rsid w:val="00990B86"/>
    <w:rsid w:val="009937EC"/>
    <w:rsid w:val="009A2B70"/>
    <w:rsid w:val="009A678C"/>
    <w:rsid w:val="009B1928"/>
    <w:rsid w:val="009B46C7"/>
    <w:rsid w:val="009B4783"/>
    <w:rsid w:val="009C3DB5"/>
    <w:rsid w:val="009C5D7A"/>
    <w:rsid w:val="009D67EA"/>
    <w:rsid w:val="009E1EE3"/>
    <w:rsid w:val="009E394B"/>
    <w:rsid w:val="009F0559"/>
    <w:rsid w:val="009F1AB1"/>
    <w:rsid w:val="009F23F7"/>
    <w:rsid w:val="009F3091"/>
    <w:rsid w:val="009F6236"/>
    <w:rsid w:val="00A01315"/>
    <w:rsid w:val="00A013EB"/>
    <w:rsid w:val="00A02ACB"/>
    <w:rsid w:val="00A128A8"/>
    <w:rsid w:val="00A13B49"/>
    <w:rsid w:val="00A14F33"/>
    <w:rsid w:val="00A14FBD"/>
    <w:rsid w:val="00A17FC2"/>
    <w:rsid w:val="00A24D7E"/>
    <w:rsid w:val="00A40C88"/>
    <w:rsid w:val="00A47500"/>
    <w:rsid w:val="00A55DEC"/>
    <w:rsid w:val="00A56773"/>
    <w:rsid w:val="00A608FC"/>
    <w:rsid w:val="00A65DF3"/>
    <w:rsid w:val="00A6643F"/>
    <w:rsid w:val="00A66DD8"/>
    <w:rsid w:val="00A670F7"/>
    <w:rsid w:val="00A716E2"/>
    <w:rsid w:val="00A72FD3"/>
    <w:rsid w:val="00A75231"/>
    <w:rsid w:val="00A95D91"/>
    <w:rsid w:val="00AA2DEA"/>
    <w:rsid w:val="00AB0051"/>
    <w:rsid w:val="00AB145B"/>
    <w:rsid w:val="00AB3D2F"/>
    <w:rsid w:val="00AB5295"/>
    <w:rsid w:val="00AB7CB7"/>
    <w:rsid w:val="00AC52AB"/>
    <w:rsid w:val="00AD189F"/>
    <w:rsid w:val="00AD4A32"/>
    <w:rsid w:val="00AD5EAD"/>
    <w:rsid w:val="00AE3BC3"/>
    <w:rsid w:val="00AE635D"/>
    <w:rsid w:val="00AE7024"/>
    <w:rsid w:val="00AF1B17"/>
    <w:rsid w:val="00AF327F"/>
    <w:rsid w:val="00AF50FB"/>
    <w:rsid w:val="00AF5A3F"/>
    <w:rsid w:val="00B0082F"/>
    <w:rsid w:val="00B07824"/>
    <w:rsid w:val="00B14A44"/>
    <w:rsid w:val="00B25D50"/>
    <w:rsid w:val="00B32C11"/>
    <w:rsid w:val="00B377DB"/>
    <w:rsid w:val="00B42C23"/>
    <w:rsid w:val="00B436FF"/>
    <w:rsid w:val="00B45EE2"/>
    <w:rsid w:val="00B51866"/>
    <w:rsid w:val="00B5274D"/>
    <w:rsid w:val="00B54254"/>
    <w:rsid w:val="00B54332"/>
    <w:rsid w:val="00B57575"/>
    <w:rsid w:val="00B65BE6"/>
    <w:rsid w:val="00B721EA"/>
    <w:rsid w:val="00B728FD"/>
    <w:rsid w:val="00B85252"/>
    <w:rsid w:val="00B91DEE"/>
    <w:rsid w:val="00BA186B"/>
    <w:rsid w:val="00BA305C"/>
    <w:rsid w:val="00BA72E4"/>
    <w:rsid w:val="00BB024F"/>
    <w:rsid w:val="00BB2562"/>
    <w:rsid w:val="00BB65D9"/>
    <w:rsid w:val="00BB7728"/>
    <w:rsid w:val="00BC159F"/>
    <w:rsid w:val="00BC464B"/>
    <w:rsid w:val="00BD006C"/>
    <w:rsid w:val="00BD346A"/>
    <w:rsid w:val="00BD65DD"/>
    <w:rsid w:val="00BE2466"/>
    <w:rsid w:val="00BE2637"/>
    <w:rsid w:val="00BE2CE1"/>
    <w:rsid w:val="00BF72E8"/>
    <w:rsid w:val="00C02519"/>
    <w:rsid w:val="00C04B1C"/>
    <w:rsid w:val="00C067B8"/>
    <w:rsid w:val="00C1241C"/>
    <w:rsid w:val="00C14D8F"/>
    <w:rsid w:val="00C14E54"/>
    <w:rsid w:val="00C209B8"/>
    <w:rsid w:val="00C2292B"/>
    <w:rsid w:val="00C24F08"/>
    <w:rsid w:val="00C37362"/>
    <w:rsid w:val="00C411F8"/>
    <w:rsid w:val="00C4239E"/>
    <w:rsid w:val="00C43733"/>
    <w:rsid w:val="00C56422"/>
    <w:rsid w:val="00C65B77"/>
    <w:rsid w:val="00C67CF6"/>
    <w:rsid w:val="00C70627"/>
    <w:rsid w:val="00C74FD7"/>
    <w:rsid w:val="00C7509B"/>
    <w:rsid w:val="00C813A4"/>
    <w:rsid w:val="00C813CB"/>
    <w:rsid w:val="00C82469"/>
    <w:rsid w:val="00C85C3C"/>
    <w:rsid w:val="00C908D0"/>
    <w:rsid w:val="00C915EF"/>
    <w:rsid w:val="00C97013"/>
    <w:rsid w:val="00CA2782"/>
    <w:rsid w:val="00CA410E"/>
    <w:rsid w:val="00CA7721"/>
    <w:rsid w:val="00CB1EA6"/>
    <w:rsid w:val="00CB46D2"/>
    <w:rsid w:val="00CB50D7"/>
    <w:rsid w:val="00CC119C"/>
    <w:rsid w:val="00CE1672"/>
    <w:rsid w:val="00CE203E"/>
    <w:rsid w:val="00CE396E"/>
    <w:rsid w:val="00CF3289"/>
    <w:rsid w:val="00CF694A"/>
    <w:rsid w:val="00D01A64"/>
    <w:rsid w:val="00D1016F"/>
    <w:rsid w:val="00D11A26"/>
    <w:rsid w:val="00D11AA2"/>
    <w:rsid w:val="00D3032A"/>
    <w:rsid w:val="00D30CC9"/>
    <w:rsid w:val="00D43634"/>
    <w:rsid w:val="00D55BF2"/>
    <w:rsid w:val="00D57B43"/>
    <w:rsid w:val="00D60487"/>
    <w:rsid w:val="00D61434"/>
    <w:rsid w:val="00D6608E"/>
    <w:rsid w:val="00D710F3"/>
    <w:rsid w:val="00D774D4"/>
    <w:rsid w:val="00D80ACD"/>
    <w:rsid w:val="00D83B32"/>
    <w:rsid w:val="00D935B9"/>
    <w:rsid w:val="00DB06F8"/>
    <w:rsid w:val="00DB6355"/>
    <w:rsid w:val="00DC552C"/>
    <w:rsid w:val="00DC7089"/>
    <w:rsid w:val="00DD4A64"/>
    <w:rsid w:val="00DD7558"/>
    <w:rsid w:val="00DE51CE"/>
    <w:rsid w:val="00DF0F97"/>
    <w:rsid w:val="00DF6847"/>
    <w:rsid w:val="00DF7CCB"/>
    <w:rsid w:val="00E02263"/>
    <w:rsid w:val="00E02EDF"/>
    <w:rsid w:val="00E03C2F"/>
    <w:rsid w:val="00E10641"/>
    <w:rsid w:val="00E20E90"/>
    <w:rsid w:val="00E214D2"/>
    <w:rsid w:val="00E23E11"/>
    <w:rsid w:val="00E41404"/>
    <w:rsid w:val="00E5161E"/>
    <w:rsid w:val="00E56889"/>
    <w:rsid w:val="00E571B5"/>
    <w:rsid w:val="00E607E3"/>
    <w:rsid w:val="00E61BB8"/>
    <w:rsid w:val="00E627A7"/>
    <w:rsid w:val="00E671C5"/>
    <w:rsid w:val="00E70E14"/>
    <w:rsid w:val="00E73615"/>
    <w:rsid w:val="00E77BB8"/>
    <w:rsid w:val="00E8146F"/>
    <w:rsid w:val="00E81C86"/>
    <w:rsid w:val="00E82DD9"/>
    <w:rsid w:val="00E867C6"/>
    <w:rsid w:val="00E86E02"/>
    <w:rsid w:val="00E86ED5"/>
    <w:rsid w:val="00E9151A"/>
    <w:rsid w:val="00E93206"/>
    <w:rsid w:val="00E9563F"/>
    <w:rsid w:val="00E95A22"/>
    <w:rsid w:val="00EA08F7"/>
    <w:rsid w:val="00EA0CA0"/>
    <w:rsid w:val="00EA7F4E"/>
    <w:rsid w:val="00EB0AAE"/>
    <w:rsid w:val="00EC6AA7"/>
    <w:rsid w:val="00ED3B4F"/>
    <w:rsid w:val="00EE2BA4"/>
    <w:rsid w:val="00EE4909"/>
    <w:rsid w:val="00EE5B40"/>
    <w:rsid w:val="00EF6CC7"/>
    <w:rsid w:val="00EF73F9"/>
    <w:rsid w:val="00F0290C"/>
    <w:rsid w:val="00F05ADA"/>
    <w:rsid w:val="00F10043"/>
    <w:rsid w:val="00F11BB7"/>
    <w:rsid w:val="00F16F14"/>
    <w:rsid w:val="00F24158"/>
    <w:rsid w:val="00F27212"/>
    <w:rsid w:val="00F3157D"/>
    <w:rsid w:val="00F344AB"/>
    <w:rsid w:val="00F424DD"/>
    <w:rsid w:val="00F44AFA"/>
    <w:rsid w:val="00F46FBD"/>
    <w:rsid w:val="00F54BE6"/>
    <w:rsid w:val="00F56A57"/>
    <w:rsid w:val="00F6575A"/>
    <w:rsid w:val="00F66B44"/>
    <w:rsid w:val="00F82578"/>
    <w:rsid w:val="00F92EB4"/>
    <w:rsid w:val="00F932E2"/>
    <w:rsid w:val="00FA4B86"/>
    <w:rsid w:val="00FB01D3"/>
    <w:rsid w:val="00FB5924"/>
    <w:rsid w:val="00FB5BE2"/>
    <w:rsid w:val="00FC5E97"/>
    <w:rsid w:val="00FD26EE"/>
    <w:rsid w:val="00FE1E62"/>
    <w:rsid w:val="00FE5AD9"/>
    <w:rsid w:val="00FE5D8F"/>
    <w:rsid w:val="00FE796E"/>
    <w:rsid w:val="00FF499B"/>
    <w:rsid w:val="00FF6A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E72B"/>
  <w15:chartTrackingRefBased/>
  <w15:docId w15:val="{157EF3CD-4482-49AB-8999-87C3933A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B1C"/>
    <w:rPr>
      <w:rFonts w:eastAsiaTheme="majorEastAsia" w:cstheme="majorBidi"/>
      <w:color w:val="272727" w:themeColor="text1" w:themeTint="D8"/>
    </w:rPr>
  </w:style>
  <w:style w:type="paragraph" w:styleId="Title">
    <w:name w:val="Title"/>
    <w:basedOn w:val="Normal"/>
    <w:next w:val="Normal"/>
    <w:link w:val="TitleChar"/>
    <w:uiPriority w:val="10"/>
    <w:qFormat/>
    <w:rsid w:val="00C04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B1C"/>
    <w:pPr>
      <w:spacing w:before="160"/>
      <w:jc w:val="center"/>
    </w:pPr>
    <w:rPr>
      <w:i/>
      <w:iCs/>
      <w:color w:val="404040" w:themeColor="text1" w:themeTint="BF"/>
    </w:rPr>
  </w:style>
  <w:style w:type="character" w:customStyle="1" w:styleId="QuoteChar">
    <w:name w:val="Quote Char"/>
    <w:basedOn w:val="DefaultParagraphFont"/>
    <w:link w:val="Quote"/>
    <w:uiPriority w:val="29"/>
    <w:rsid w:val="00C04B1C"/>
    <w:rPr>
      <w:i/>
      <w:iCs/>
      <w:color w:val="404040" w:themeColor="text1" w:themeTint="BF"/>
    </w:rPr>
  </w:style>
  <w:style w:type="paragraph" w:styleId="ListParagraph">
    <w:name w:val="List Paragraph"/>
    <w:basedOn w:val="Normal"/>
    <w:uiPriority w:val="34"/>
    <w:qFormat/>
    <w:rsid w:val="00C04B1C"/>
    <w:pPr>
      <w:ind w:left="720"/>
      <w:contextualSpacing/>
    </w:pPr>
  </w:style>
  <w:style w:type="character" w:styleId="IntenseEmphasis">
    <w:name w:val="Intense Emphasis"/>
    <w:basedOn w:val="DefaultParagraphFont"/>
    <w:uiPriority w:val="21"/>
    <w:qFormat/>
    <w:rsid w:val="00C04B1C"/>
    <w:rPr>
      <w:i/>
      <w:iCs/>
      <w:color w:val="0F4761" w:themeColor="accent1" w:themeShade="BF"/>
    </w:rPr>
  </w:style>
  <w:style w:type="paragraph" w:styleId="IntenseQuote">
    <w:name w:val="Intense Quote"/>
    <w:basedOn w:val="Normal"/>
    <w:next w:val="Normal"/>
    <w:link w:val="IntenseQuoteChar"/>
    <w:uiPriority w:val="30"/>
    <w:qFormat/>
    <w:rsid w:val="00C04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B1C"/>
    <w:rPr>
      <w:i/>
      <w:iCs/>
      <w:color w:val="0F4761" w:themeColor="accent1" w:themeShade="BF"/>
    </w:rPr>
  </w:style>
  <w:style w:type="character" w:styleId="IntenseReference">
    <w:name w:val="Intense Reference"/>
    <w:basedOn w:val="DefaultParagraphFont"/>
    <w:uiPriority w:val="32"/>
    <w:qFormat/>
    <w:rsid w:val="00C04B1C"/>
    <w:rPr>
      <w:b/>
      <w:bCs/>
      <w:smallCaps/>
      <w:color w:val="0F4761" w:themeColor="accent1" w:themeShade="BF"/>
      <w:spacing w:val="5"/>
    </w:rPr>
  </w:style>
  <w:style w:type="table" w:styleId="TableGrid">
    <w:name w:val="Table Grid"/>
    <w:basedOn w:val="TableNormal"/>
    <w:uiPriority w:val="39"/>
    <w:rsid w:val="009B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443"/>
  </w:style>
  <w:style w:type="paragraph" w:styleId="Footer">
    <w:name w:val="footer"/>
    <w:basedOn w:val="Normal"/>
    <w:link w:val="FooterChar"/>
    <w:uiPriority w:val="99"/>
    <w:unhideWhenUsed/>
    <w:rsid w:val="00941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43"/>
  </w:style>
  <w:style w:type="paragraph" w:styleId="FootnoteText">
    <w:name w:val="footnote text"/>
    <w:basedOn w:val="Normal"/>
    <w:link w:val="FootnoteTextChar"/>
    <w:uiPriority w:val="99"/>
    <w:semiHidden/>
    <w:unhideWhenUsed/>
    <w:rsid w:val="00C12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41C"/>
    <w:rPr>
      <w:sz w:val="20"/>
      <w:szCs w:val="20"/>
    </w:rPr>
  </w:style>
  <w:style w:type="character" w:styleId="FootnoteReference">
    <w:name w:val="footnote reference"/>
    <w:basedOn w:val="DefaultParagraphFont"/>
    <w:uiPriority w:val="99"/>
    <w:semiHidden/>
    <w:unhideWhenUsed/>
    <w:rsid w:val="00C1241C"/>
    <w:rPr>
      <w:vertAlign w:val="superscript"/>
    </w:rPr>
  </w:style>
  <w:style w:type="paragraph" w:styleId="Revision">
    <w:name w:val="Revision"/>
    <w:hidden/>
    <w:uiPriority w:val="99"/>
    <w:semiHidden/>
    <w:rsid w:val="009C3DB5"/>
    <w:pPr>
      <w:spacing w:after="0" w:line="240" w:lineRule="auto"/>
    </w:pPr>
  </w:style>
  <w:style w:type="character" w:styleId="CommentReference">
    <w:name w:val="annotation reference"/>
    <w:basedOn w:val="DefaultParagraphFont"/>
    <w:uiPriority w:val="99"/>
    <w:semiHidden/>
    <w:unhideWhenUsed/>
    <w:rsid w:val="00BB7728"/>
    <w:rPr>
      <w:sz w:val="16"/>
      <w:szCs w:val="16"/>
    </w:rPr>
  </w:style>
  <w:style w:type="paragraph" w:styleId="CommentText">
    <w:name w:val="annotation text"/>
    <w:basedOn w:val="Normal"/>
    <w:link w:val="CommentTextChar"/>
    <w:uiPriority w:val="99"/>
    <w:unhideWhenUsed/>
    <w:rsid w:val="00BB7728"/>
    <w:pPr>
      <w:spacing w:line="240" w:lineRule="auto"/>
    </w:pPr>
    <w:rPr>
      <w:sz w:val="20"/>
      <w:szCs w:val="20"/>
    </w:rPr>
  </w:style>
  <w:style w:type="character" w:customStyle="1" w:styleId="CommentTextChar">
    <w:name w:val="Comment Text Char"/>
    <w:basedOn w:val="DefaultParagraphFont"/>
    <w:link w:val="CommentText"/>
    <w:uiPriority w:val="99"/>
    <w:rsid w:val="00BB7728"/>
    <w:rPr>
      <w:sz w:val="20"/>
      <w:szCs w:val="20"/>
    </w:rPr>
  </w:style>
  <w:style w:type="paragraph" w:styleId="CommentSubject">
    <w:name w:val="annotation subject"/>
    <w:basedOn w:val="CommentText"/>
    <w:next w:val="CommentText"/>
    <w:link w:val="CommentSubjectChar"/>
    <w:uiPriority w:val="99"/>
    <w:semiHidden/>
    <w:unhideWhenUsed/>
    <w:rsid w:val="00BB7728"/>
    <w:rPr>
      <w:b/>
      <w:bCs/>
    </w:rPr>
  </w:style>
  <w:style w:type="character" w:customStyle="1" w:styleId="CommentSubjectChar">
    <w:name w:val="Comment Subject Char"/>
    <w:basedOn w:val="CommentTextChar"/>
    <w:link w:val="CommentSubject"/>
    <w:uiPriority w:val="99"/>
    <w:semiHidden/>
    <w:rsid w:val="00BB7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EF09-3BC4-46E3-BB12-C1859E87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4</cp:revision>
  <dcterms:created xsi:type="dcterms:W3CDTF">2025-08-04T10:59:00Z</dcterms:created>
  <dcterms:modified xsi:type="dcterms:W3CDTF">2025-08-06T15:17:00Z</dcterms:modified>
</cp:coreProperties>
</file>